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9F9C3" w14:textId="77777777" w:rsidR="005F41C2" w:rsidRPr="002771AD" w:rsidRDefault="00A8795D" w:rsidP="002771AD">
      <w:pPr>
        <w:rPr>
          <w:rFonts w:ascii="Arial" w:hAnsi="Arial" w:cs="Arial"/>
          <w:b/>
        </w:rPr>
      </w:pPr>
      <w:r w:rsidRPr="002771AD">
        <w:rPr>
          <w:rFonts w:ascii="Arial" w:hAnsi="Arial" w:cs="Arial"/>
          <w:b/>
        </w:rPr>
        <w:t>Zur ersten Lesung des Haushaltsplanentwurfs 2019</w:t>
      </w:r>
    </w:p>
    <w:p w14:paraId="7D3BA421" w14:textId="77777777" w:rsidR="005F41C2" w:rsidRPr="002771AD" w:rsidRDefault="005F41C2" w:rsidP="002771AD">
      <w:pPr>
        <w:rPr>
          <w:rFonts w:ascii="Arial" w:hAnsi="Arial" w:cs="Arial"/>
        </w:rPr>
      </w:pPr>
    </w:p>
    <w:p w14:paraId="14F1D0E6" w14:textId="59BF8F47" w:rsidR="005F41C2" w:rsidRPr="002771AD" w:rsidRDefault="00540892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I</w:t>
      </w:r>
      <w:r w:rsidR="005F41C2" w:rsidRPr="002771AD">
        <w:rPr>
          <w:rFonts w:ascii="Arial" w:hAnsi="Arial" w:cs="Arial"/>
        </w:rPr>
        <w:t>nvestitionen 2018 weit unter Plan</w:t>
      </w:r>
      <w:r w:rsidRPr="002771AD">
        <w:rPr>
          <w:rFonts w:ascii="Arial" w:hAnsi="Arial" w:cs="Arial"/>
        </w:rPr>
        <w:t xml:space="preserve"> - </w:t>
      </w:r>
      <w:r w:rsidR="0055243A" w:rsidRPr="002771AD">
        <w:rPr>
          <w:rFonts w:ascii="Arial" w:hAnsi="Arial" w:cs="Arial"/>
        </w:rPr>
        <w:t>h</w:t>
      </w:r>
      <w:r w:rsidRPr="002771AD">
        <w:rPr>
          <w:rFonts w:ascii="Arial" w:hAnsi="Arial" w:cs="Arial"/>
        </w:rPr>
        <w:t>oher Kassenbestand Anfang 2019</w:t>
      </w:r>
    </w:p>
    <w:p w14:paraId="73C8ECD8" w14:textId="6A679F1F" w:rsidR="00C905EF" w:rsidRPr="002771AD" w:rsidRDefault="0055243A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Investitionen 2019 noch höher geplant als 2018</w:t>
      </w:r>
    </w:p>
    <w:p w14:paraId="268B7136" w14:textId="528A1B54" w:rsidR="0055243A" w:rsidRPr="002771AD" w:rsidRDefault="0055243A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Anhaltend starker Anstieg der Personalaufwendungen</w:t>
      </w:r>
    </w:p>
    <w:p w14:paraId="17473910" w14:textId="1E5EFDF3" w:rsidR="0055243A" w:rsidRPr="002771AD" w:rsidRDefault="0055243A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Verluste des Fremdenverkehrsbetriebes werden fortgeschrieben</w:t>
      </w:r>
    </w:p>
    <w:p w14:paraId="3D411F7B" w14:textId="7A69B5DD" w:rsidR="001A606E" w:rsidRPr="002771AD" w:rsidRDefault="001A606E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Bereich </w:t>
      </w:r>
      <w:proofErr w:type="spellStart"/>
      <w:r w:rsidRPr="002771AD">
        <w:rPr>
          <w:rFonts w:ascii="Arial" w:hAnsi="Arial" w:cs="Arial"/>
        </w:rPr>
        <w:t>Touristinfo</w:t>
      </w:r>
      <w:proofErr w:type="spellEnd"/>
      <w:r w:rsidRPr="002771AD">
        <w:rPr>
          <w:rFonts w:ascii="Arial" w:hAnsi="Arial" w:cs="Arial"/>
        </w:rPr>
        <w:t xml:space="preserve"> </w:t>
      </w:r>
      <w:r w:rsidR="007014DA" w:rsidRPr="002771AD">
        <w:rPr>
          <w:rFonts w:ascii="Arial" w:hAnsi="Arial" w:cs="Arial"/>
        </w:rPr>
        <w:t xml:space="preserve">subventionierte branchenspezifische </w:t>
      </w:r>
      <w:r w:rsidRPr="002771AD">
        <w:rPr>
          <w:rFonts w:ascii="Arial" w:hAnsi="Arial" w:cs="Arial"/>
        </w:rPr>
        <w:t>Wirtschafts- und Werbeförderung</w:t>
      </w:r>
    </w:p>
    <w:p w14:paraId="046B7169" w14:textId="4D68966D" w:rsidR="0055243A" w:rsidRPr="002771AD" w:rsidRDefault="0055243A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Keine Neuverschuldung</w:t>
      </w:r>
    </w:p>
    <w:p w14:paraId="405FBB26" w14:textId="07926C5C" w:rsidR="0055243A" w:rsidRPr="002771AD" w:rsidRDefault="0055243A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Konsequenter Schuldenabbau</w:t>
      </w:r>
    </w:p>
    <w:p w14:paraId="1753CC62" w14:textId="0E5CAED3" w:rsidR="005D36F5" w:rsidRPr="002771AD" w:rsidRDefault="005D36F5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Keine Steuererhöhungen</w:t>
      </w:r>
    </w:p>
    <w:p w14:paraId="04382F4C" w14:textId="77777777" w:rsidR="005D36F5" w:rsidRPr="002771AD" w:rsidRDefault="005D36F5" w:rsidP="002771AD">
      <w:pPr>
        <w:rPr>
          <w:rFonts w:ascii="Arial" w:hAnsi="Arial" w:cs="Arial"/>
        </w:rPr>
      </w:pPr>
    </w:p>
    <w:p w14:paraId="29E11B85" w14:textId="4B15A6D6" w:rsidR="00D76BB4" w:rsidRPr="002771AD" w:rsidRDefault="005D36F5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In der Januar-Gemeinderatssitzung lobten und dankten alle Fraktionen der Kämmerei </w:t>
      </w:r>
      <w:r w:rsidR="009E5717" w:rsidRPr="002771AD">
        <w:rPr>
          <w:rFonts w:ascii="Arial" w:hAnsi="Arial" w:cs="Arial"/>
        </w:rPr>
        <w:t xml:space="preserve">zurecht </w:t>
      </w:r>
      <w:r w:rsidRPr="002771AD">
        <w:rPr>
          <w:rFonts w:ascii="Arial" w:hAnsi="Arial" w:cs="Arial"/>
        </w:rPr>
        <w:t>für die Ausarbeitung des zweifelsohne umfangreichen und komplexen Haushaltsplanentwurfs für 2019.</w:t>
      </w:r>
    </w:p>
    <w:p w14:paraId="3BE9822D" w14:textId="33EAF7EF" w:rsidR="00A8795D" w:rsidRPr="002771AD" w:rsidRDefault="0055243A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Beobachter </w:t>
      </w:r>
      <w:r w:rsidR="005D36F5" w:rsidRPr="002771AD">
        <w:rPr>
          <w:rFonts w:ascii="Arial" w:hAnsi="Arial" w:cs="Arial"/>
        </w:rPr>
        <w:t xml:space="preserve">erlebten auch, dass </w:t>
      </w:r>
      <w:r w:rsidRPr="002771AD">
        <w:rPr>
          <w:rFonts w:ascii="Arial" w:hAnsi="Arial" w:cs="Arial"/>
        </w:rPr>
        <w:t xml:space="preserve">mit gewissem Stolz von dem höchsten Kassenbestand </w:t>
      </w:r>
      <w:r w:rsidR="00BA0D5C" w:rsidRPr="002771AD">
        <w:rPr>
          <w:rFonts w:ascii="Arial" w:hAnsi="Arial" w:cs="Arial"/>
        </w:rPr>
        <w:t xml:space="preserve">aller Zeiten </w:t>
      </w:r>
      <w:r w:rsidRPr="002771AD">
        <w:rPr>
          <w:rFonts w:ascii="Arial" w:hAnsi="Arial" w:cs="Arial"/>
        </w:rPr>
        <w:t xml:space="preserve">und </w:t>
      </w:r>
      <w:r w:rsidR="00BA0D5C" w:rsidRPr="002771AD">
        <w:rPr>
          <w:rFonts w:ascii="Arial" w:hAnsi="Arial" w:cs="Arial"/>
        </w:rPr>
        <w:t>einem geplante</w:t>
      </w:r>
      <w:r w:rsidR="001228D8" w:rsidRPr="002771AD">
        <w:rPr>
          <w:rFonts w:ascii="Arial" w:hAnsi="Arial" w:cs="Arial"/>
        </w:rPr>
        <w:t>n</w:t>
      </w:r>
      <w:r w:rsidR="00BA0D5C" w:rsidRPr="002771AD">
        <w:rPr>
          <w:rFonts w:ascii="Arial" w:hAnsi="Arial" w:cs="Arial"/>
        </w:rPr>
        <w:t xml:space="preserve"> Rekord-Investitionsniveau für 2019 berichtet wurde. Dabei hat ein hoher Kassenbestand doch erst dann Wert, wenn in der vorhergehenden Periode die Einnahmen überplanmäßig waren und die Ausgaben bei Umsetzung</w:t>
      </w:r>
      <w:r w:rsidR="006B0870" w:rsidRPr="002771AD">
        <w:rPr>
          <w:rFonts w:ascii="Arial" w:hAnsi="Arial" w:cs="Arial"/>
        </w:rPr>
        <w:t xml:space="preserve"> nahezu</w:t>
      </w:r>
      <w:r w:rsidR="00BA0D5C" w:rsidRPr="002771AD">
        <w:rPr>
          <w:rFonts w:ascii="Arial" w:hAnsi="Arial" w:cs="Arial"/>
        </w:rPr>
        <w:t xml:space="preserve"> </w:t>
      </w:r>
      <w:r w:rsidR="00BA0D5C" w:rsidRPr="002771AD">
        <w:rPr>
          <w:rFonts w:ascii="Arial" w:hAnsi="Arial" w:cs="Arial"/>
          <w:u w:val="single"/>
        </w:rPr>
        <w:t>aller</w:t>
      </w:r>
      <w:r w:rsidR="00BA0D5C" w:rsidRPr="002771AD">
        <w:rPr>
          <w:rFonts w:ascii="Arial" w:hAnsi="Arial" w:cs="Arial"/>
        </w:rPr>
        <w:t xml:space="preserve"> Investitionsvorhaben deutlich unter dem Planansatz blieben.</w:t>
      </w:r>
    </w:p>
    <w:p w14:paraId="0833CF6B" w14:textId="1C2D0225" w:rsidR="0074751B" w:rsidRPr="002771AD" w:rsidRDefault="0074751B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Als „</w:t>
      </w:r>
      <w:r w:rsidRPr="002771AD">
        <w:rPr>
          <w:rFonts w:ascii="Arial" w:hAnsi="Arial" w:cs="Arial"/>
          <w:b/>
        </w:rPr>
        <w:t>Haushalt der Superlative</w:t>
      </w:r>
      <w:r w:rsidRPr="002771AD">
        <w:rPr>
          <w:rFonts w:ascii="Arial" w:hAnsi="Arial" w:cs="Arial"/>
        </w:rPr>
        <w:t>“</w:t>
      </w:r>
      <w:r w:rsidR="00A8795D" w:rsidRPr="002771AD">
        <w:rPr>
          <w:rFonts w:ascii="Arial" w:hAnsi="Arial" w:cs="Arial"/>
        </w:rPr>
        <w:t xml:space="preserve"> </w:t>
      </w:r>
      <w:r w:rsidRPr="002771AD">
        <w:rPr>
          <w:rFonts w:ascii="Arial" w:hAnsi="Arial" w:cs="Arial"/>
        </w:rPr>
        <w:t xml:space="preserve">bezeichnete BM Krafft den Haushaltsplanentwurf 2019. </w:t>
      </w:r>
      <w:r w:rsidR="00A8795D" w:rsidRPr="002771AD">
        <w:rPr>
          <w:rFonts w:ascii="Arial" w:hAnsi="Arial" w:cs="Arial"/>
        </w:rPr>
        <w:t>Wohl mit Blick auf den Umfang des Dokumentes sprach der FWV-Haushaltsexperte differenzierter von einem „Zahlenwerk der Re</w:t>
      </w:r>
      <w:r w:rsidR="00F3348C" w:rsidRPr="002771AD">
        <w:rPr>
          <w:rFonts w:ascii="Arial" w:hAnsi="Arial" w:cs="Arial"/>
        </w:rPr>
        <w:t>korde“.  Das lässt aufhorchen und weckt die Erinnerung an den Haushaltsplan 2018: 11,5 Millionen – Langenargen beschließt Rekordinvestitionen.</w:t>
      </w:r>
      <w:r w:rsidRPr="002771AD">
        <w:rPr>
          <w:rFonts w:ascii="Arial" w:hAnsi="Arial" w:cs="Arial"/>
        </w:rPr>
        <w:t xml:space="preserve"> Ein Investitionsfeuerwerk werde gezündet, versprach BM Krafft</w:t>
      </w:r>
      <w:r w:rsidR="00F51366" w:rsidRPr="002771AD">
        <w:rPr>
          <w:rFonts w:ascii="Arial" w:hAnsi="Arial" w:cs="Arial"/>
        </w:rPr>
        <w:t xml:space="preserve"> vor einem Jahr</w:t>
      </w:r>
      <w:r w:rsidRPr="002771AD">
        <w:rPr>
          <w:rFonts w:ascii="Arial" w:hAnsi="Arial" w:cs="Arial"/>
        </w:rPr>
        <w:t xml:space="preserve">. </w:t>
      </w:r>
    </w:p>
    <w:p w14:paraId="46A8F1E5" w14:textId="5E8EB0EA" w:rsidR="00A8795D" w:rsidRDefault="0074751B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Als erstes stellt sich die Frage, wie sieht die </w:t>
      </w:r>
      <w:r w:rsidRPr="002771AD">
        <w:rPr>
          <w:rFonts w:ascii="Arial" w:hAnsi="Arial" w:cs="Arial"/>
          <w:b/>
        </w:rPr>
        <w:t>Performance für 2018</w:t>
      </w:r>
      <w:r w:rsidRPr="002771AD">
        <w:rPr>
          <w:rFonts w:ascii="Arial" w:hAnsi="Arial" w:cs="Arial"/>
        </w:rPr>
        <w:t xml:space="preserve"> aus? </w:t>
      </w:r>
      <w:r w:rsidR="009D7615" w:rsidRPr="002771AD">
        <w:rPr>
          <w:rFonts w:ascii="Arial" w:hAnsi="Arial" w:cs="Arial"/>
        </w:rPr>
        <w:t xml:space="preserve">Was wurde aus den </w:t>
      </w:r>
      <w:r w:rsidR="009D7615" w:rsidRPr="002771AD">
        <w:rPr>
          <w:rFonts w:ascii="Arial" w:hAnsi="Arial" w:cs="Arial"/>
          <w:b/>
        </w:rPr>
        <w:t>Rekordinvestitionen</w:t>
      </w:r>
      <w:r w:rsidR="006B0870" w:rsidRPr="002771AD">
        <w:rPr>
          <w:rFonts w:ascii="Arial" w:hAnsi="Arial" w:cs="Arial"/>
        </w:rPr>
        <w:t xml:space="preserve">, dem </w:t>
      </w:r>
      <w:r w:rsidR="006B0870" w:rsidRPr="002771AD">
        <w:rPr>
          <w:rFonts w:ascii="Arial" w:hAnsi="Arial" w:cs="Arial"/>
          <w:b/>
        </w:rPr>
        <w:t>Investitionsfeuerwerk</w:t>
      </w:r>
      <w:r w:rsidR="009D7615" w:rsidRPr="002771AD">
        <w:rPr>
          <w:rFonts w:ascii="Arial" w:hAnsi="Arial" w:cs="Arial"/>
        </w:rPr>
        <w:t>?</w:t>
      </w:r>
    </w:p>
    <w:p w14:paraId="2325E377" w14:textId="77777777" w:rsidR="00362753" w:rsidRPr="002771AD" w:rsidRDefault="00362753" w:rsidP="002771AD">
      <w:pPr>
        <w:rPr>
          <w:rFonts w:ascii="Arial" w:hAnsi="Arial" w:cs="Arial"/>
        </w:rPr>
      </w:pPr>
    </w:p>
    <w:p w14:paraId="5A54B69B" w14:textId="35A359E6" w:rsidR="009D7615" w:rsidRPr="002771AD" w:rsidRDefault="009D7615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2018 </w:t>
      </w:r>
      <w:r w:rsidRPr="002771AD">
        <w:rPr>
          <w:rFonts w:ascii="Arial" w:hAnsi="Arial" w:cs="Arial"/>
          <w:b/>
        </w:rPr>
        <w:t>geplante</w:t>
      </w:r>
      <w:r w:rsidRPr="002771AD">
        <w:rPr>
          <w:rFonts w:ascii="Arial" w:hAnsi="Arial" w:cs="Arial"/>
        </w:rPr>
        <w:t xml:space="preserve"> </w:t>
      </w:r>
      <w:r w:rsidRPr="002771AD">
        <w:rPr>
          <w:rFonts w:ascii="Arial" w:hAnsi="Arial" w:cs="Arial"/>
          <w:b/>
        </w:rPr>
        <w:t xml:space="preserve">Auszahlungen </w:t>
      </w:r>
      <w:r w:rsidR="00C905EF" w:rsidRPr="002771AD">
        <w:rPr>
          <w:rFonts w:ascii="Arial" w:hAnsi="Arial" w:cs="Arial"/>
          <w:b/>
        </w:rPr>
        <w:t>für</w:t>
      </w:r>
      <w:r w:rsidRPr="002771AD">
        <w:rPr>
          <w:rFonts w:ascii="Arial" w:hAnsi="Arial" w:cs="Arial"/>
          <w:b/>
        </w:rPr>
        <w:t xml:space="preserve"> Investitionstätigkeit</w:t>
      </w:r>
      <w:r w:rsidRPr="002771AD">
        <w:rPr>
          <w:rFonts w:ascii="Arial" w:hAnsi="Arial" w:cs="Arial"/>
        </w:rPr>
        <w:tab/>
        <w:t>11.444.500 Euro</w:t>
      </w:r>
    </w:p>
    <w:p w14:paraId="7EEE3F08" w14:textId="77777777" w:rsidR="009D7615" w:rsidRPr="002771AD" w:rsidRDefault="009D7615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davon in 2018 ausgegeben (siehe </w:t>
      </w:r>
      <w:proofErr w:type="spellStart"/>
      <w:r w:rsidRPr="002771AD">
        <w:rPr>
          <w:rFonts w:ascii="Arial" w:hAnsi="Arial" w:cs="Arial"/>
        </w:rPr>
        <w:t>Investprogramm</w:t>
      </w:r>
      <w:proofErr w:type="spellEnd"/>
      <w:r w:rsidRPr="002771AD">
        <w:rPr>
          <w:rFonts w:ascii="Arial" w:hAnsi="Arial" w:cs="Arial"/>
        </w:rPr>
        <w:t xml:space="preserve"> 2019)</w:t>
      </w:r>
      <w:proofErr w:type="gramStart"/>
      <w:r w:rsidRPr="002771AD">
        <w:rPr>
          <w:rFonts w:ascii="Arial" w:hAnsi="Arial" w:cs="Arial"/>
        </w:rPr>
        <w:tab/>
        <w:t xml:space="preserve">  4.200.089</w:t>
      </w:r>
      <w:proofErr w:type="gramEnd"/>
      <w:r w:rsidRPr="002771AD">
        <w:rPr>
          <w:rFonts w:ascii="Arial" w:hAnsi="Arial" w:cs="Arial"/>
        </w:rPr>
        <w:t xml:space="preserve"> Euro</w:t>
      </w:r>
    </w:p>
    <w:p w14:paraId="14F5173C" w14:textId="77777777" w:rsidR="009D7615" w:rsidRPr="002771AD" w:rsidRDefault="009D7615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nicht realisierte Investitionstätigkeit</w:t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proofErr w:type="gramStart"/>
      <w:r w:rsidRPr="002771AD">
        <w:rPr>
          <w:rFonts w:ascii="Arial" w:hAnsi="Arial" w:cs="Arial"/>
        </w:rPr>
        <w:tab/>
        <w:t xml:space="preserve">  7.244.411</w:t>
      </w:r>
      <w:proofErr w:type="gramEnd"/>
      <w:r w:rsidRPr="002771AD">
        <w:rPr>
          <w:rFonts w:ascii="Arial" w:hAnsi="Arial" w:cs="Arial"/>
        </w:rPr>
        <w:t xml:space="preserve"> Euro</w:t>
      </w:r>
    </w:p>
    <w:p w14:paraId="1989200E" w14:textId="77777777" w:rsidR="009D7615" w:rsidRPr="002771AD" w:rsidRDefault="00546738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Performance</w:t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  <w:t>36,7 %</w:t>
      </w:r>
    </w:p>
    <w:p w14:paraId="6FA827AD" w14:textId="77777777" w:rsidR="00362753" w:rsidRDefault="00362753" w:rsidP="002771AD">
      <w:pPr>
        <w:rPr>
          <w:rFonts w:ascii="Arial" w:hAnsi="Arial" w:cs="Arial"/>
        </w:rPr>
      </w:pPr>
    </w:p>
    <w:p w14:paraId="3C9F88F6" w14:textId="7F9419A1" w:rsidR="009C6F27" w:rsidRPr="002771AD" w:rsidRDefault="009C6F27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Bekanntlich ersetzt Planung den Zufall durch Irrtum. A</w:t>
      </w:r>
      <w:r w:rsidR="00546738" w:rsidRPr="002771AD">
        <w:rPr>
          <w:rFonts w:ascii="Arial" w:hAnsi="Arial" w:cs="Arial"/>
        </w:rPr>
        <w:t>uch der beste und genaueste Plan wird nie die Realität abbilden.</w:t>
      </w:r>
      <w:r w:rsidRPr="002771AD">
        <w:rPr>
          <w:rFonts w:ascii="Arial" w:hAnsi="Arial" w:cs="Arial"/>
        </w:rPr>
        <w:t xml:space="preserve"> </w:t>
      </w:r>
      <w:r w:rsidR="00546738" w:rsidRPr="002771AD">
        <w:rPr>
          <w:rFonts w:ascii="Arial" w:hAnsi="Arial" w:cs="Arial"/>
        </w:rPr>
        <w:t>Auch ein Haushaltsplan</w:t>
      </w:r>
      <w:r w:rsidRPr="002771AD">
        <w:rPr>
          <w:rFonts w:ascii="Arial" w:hAnsi="Arial" w:cs="Arial"/>
        </w:rPr>
        <w:t xml:space="preserve"> </w:t>
      </w:r>
      <w:r w:rsidR="00546738" w:rsidRPr="002771AD">
        <w:rPr>
          <w:rFonts w:ascii="Arial" w:hAnsi="Arial" w:cs="Arial"/>
        </w:rPr>
        <w:t>enthält Annahmen übe</w:t>
      </w:r>
      <w:r w:rsidRPr="002771AD">
        <w:rPr>
          <w:rFonts w:ascii="Arial" w:hAnsi="Arial" w:cs="Arial"/>
        </w:rPr>
        <w:t xml:space="preserve">r die Zukunft und ist insofern </w:t>
      </w:r>
      <w:r w:rsidR="00546738" w:rsidRPr="002771AD">
        <w:rPr>
          <w:rFonts w:ascii="Arial" w:hAnsi="Arial" w:cs="Arial"/>
        </w:rPr>
        <w:t xml:space="preserve">immer Irrtum. </w:t>
      </w:r>
      <w:r w:rsidRPr="002771AD">
        <w:rPr>
          <w:rFonts w:ascii="Arial" w:hAnsi="Arial" w:cs="Arial"/>
        </w:rPr>
        <w:t xml:space="preserve">Eine Punktlandung kann sicherlich nicht erwartet werden. </w:t>
      </w:r>
      <w:r w:rsidR="00EB1330" w:rsidRPr="002771AD">
        <w:rPr>
          <w:rFonts w:ascii="Arial" w:hAnsi="Arial" w:cs="Arial"/>
        </w:rPr>
        <w:t>Aber e</w:t>
      </w:r>
      <w:r w:rsidRPr="002771AD">
        <w:rPr>
          <w:rFonts w:ascii="Arial" w:hAnsi="Arial" w:cs="Arial"/>
        </w:rPr>
        <w:t xml:space="preserve">in Realisierungsgrad, eine Performance von nur 37 Prozent bei einem Zeithorizont von 1 Jahr kommt einem gefährlichen Sichtflug ohne Planung recht nahe.  Es fehlt also eine Antwort auf die Frage, woran scheiterte eine bessere Performance? </w:t>
      </w:r>
    </w:p>
    <w:p w14:paraId="4F5610F8" w14:textId="77777777" w:rsidR="009C6F27" w:rsidRPr="002771AD" w:rsidRDefault="009C6F27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Eine „</w:t>
      </w:r>
      <w:r w:rsidRPr="002771AD">
        <w:rPr>
          <w:rFonts w:ascii="Arial" w:hAnsi="Arial" w:cs="Arial"/>
          <w:b/>
        </w:rPr>
        <w:t>Investitions-Roadmap</w:t>
      </w:r>
      <w:r w:rsidRPr="002771AD">
        <w:rPr>
          <w:rFonts w:ascii="Arial" w:hAnsi="Arial" w:cs="Arial"/>
        </w:rPr>
        <w:t xml:space="preserve">“ mit einem </w:t>
      </w:r>
      <w:r w:rsidRPr="002771AD">
        <w:rPr>
          <w:rFonts w:ascii="Arial" w:hAnsi="Arial" w:cs="Arial"/>
          <w:b/>
        </w:rPr>
        <w:t>Soll-Ist-Vergleich</w:t>
      </w:r>
      <w:r w:rsidRPr="002771AD">
        <w:rPr>
          <w:rFonts w:ascii="Arial" w:hAnsi="Arial" w:cs="Arial"/>
        </w:rPr>
        <w:t xml:space="preserve"> würde </w:t>
      </w:r>
      <w:r w:rsidR="00FD6011" w:rsidRPr="002771AD">
        <w:rPr>
          <w:rFonts w:ascii="Arial" w:hAnsi="Arial" w:cs="Arial"/>
        </w:rPr>
        <w:t>zumindest auf der Zeitachse die Wirksamkeit geplanter Investitionen sichtbar machen.</w:t>
      </w:r>
    </w:p>
    <w:p w14:paraId="33D5DE80" w14:textId="77777777" w:rsidR="00FD6011" w:rsidRPr="002771AD" w:rsidRDefault="00FD6011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Sind überhaupt die </w:t>
      </w:r>
      <w:r w:rsidRPr="002771AD">
        <w:rPr>
          <w:rFonts w:ascii="Arial" w:hAnsi="Arial" w:cs="Arial"/>
          <w:b/>
        </w:rPr>
        <w:t>personellen Ressourcen</w:t>
      </w:r>
      <w:r w:rsidRPr="002771AD">
        <w:rPr>
          <w:rFonts w:ascii="Arial" w:hAnsi="Arial" w:cs="Arial"/>
        </w:rPr>
        <w:t xml:space="preserve"> zur Bewältigung eines solchen Investitionsfeuerwerkes im Rathaus vorhanden? Falls nein, nach welchen Kriterien wird ein Investitionsprogramm abgearbeitet?</w:t>
      </w:r>
    </w:p>
    <w:p w14:paraId="2EC59743" w14:textId="0302AC47" w:rsidR="00FD6011" w:rsidRPr="002771AD" w:rsidRDefault="00FD6011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Sind die einzelnen Investitionsvorhaben klassifiziert</w:t>
      </w:r>
      <w:r w:rsidR="006B0870" w:rsidRPr="002771AD">
        <w:rPr>
          <w:rFonts w:ascii="Arial" w:hAnsi="Arial" w:cs="Arial"/>
        </w:rPr>
        <w:t xml:space="preserve"> und priorisiert</w:t>
      </w:r>
      <w:r w:rsidRPr="002771AD">
        <w:rPr>
          <w:rFonts w:ascii="Arial" w:hAnsi="Arial" w:cs="Arial"/>
        </w:rPr>
        <w:t xml:space="preserve">? Z.B.: dringend, aufschiebbar, „nice </w:t>
      </w:r>
      <w:proofErr w:type="spellStart"/>
      <w:r w:rsidRPr="002771AD">
        <w:rPr>
          <w:rFonts w:ascii="Arial" w:hAnsi="Arial" w:cs="Arial"/>
        </w:rPr>
        <w:t>to</w:t>
      </w:r>
      <w:proofErr w:type="spellEnd"/>
      <w:r w:rsidRPr="002771AD">
        <w:rPr>
          <w:rFonts w:ascii="Arial" w:hAnsi="Arial" w:cs="Arial"/>
        </w:rPr>
        <w:t xml:space="preserve"> </w:t>
      </w:r>
      <w:proofErr w:type="spellStart"/>
      <w:r w:rsidRPr="002771AD">
        <w:rPr>
          <w:rFonts w:ascii="Arial" w:hAnsi="Arial" w:cs="Arial"/>
        </w:rPr>
        <w:t>have</w:t>
      </w:r>
      <w:proofErr w:type="spellEnd"/>
      <w:r w:rsidRPr="002771AD">
        <w:rPr>
          <w:rFonts w:ascii="Arial" w:hAnsi="Arial" w:cs="Arial"/>
        </w:rPr>
        <w:t xml:space="preserve">“ oder ähnlich? </w:t>
      </w:r>
    </w:p>
    <w:p w14:paraId="5C16FF27" w14:textId="77777777" w:rsidR="006D289F" w:rsidRPr="002771AD" w:rsidRDefault="006D289F" w:rsidP="002771AD">
      <w:pPr>
        <w:rPr>
          <w:rFonts w:ascii="Arial" w:hAnsi="Arial" w:cs="Arial"/>
        </w:rPr>
      </w:pPr>
    </w:p>
    <w:p w14:paraId="6D48B91B" w14:textId="77777777" w:rsidR="00B67308" w:rsidRPr="002771AD" w:rsidRDefault="00B67308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Und wie verändern die nicht realisierten Investitionen den </w:t>
      </w:r>
      <w:r w:rsidRPr="002771AD">
        <w:rPr>
          <w:rFonts w:ascii="Arial" w:hAnsi="Arial" w:cs="Arial"/>
          <w:b/>
        </w:rPr>
        <w:t>Kassenbestand</w:t>
      </w:r>
      <w:r w:rsidRPr="002771AD">
        <w:rPr>
          <w:rFonts w:ascii="Arial" w:hAnsi="Arial" w:cs="Arial"/>
        </w:rPr>
        <w:t>?</w:t>
      </w:r>
    </w:p>
    <w:p w14:paraId="19F243DC" w14:textId="77777777" w:rsidR="00B67308" w:rsidRPr="002771AD" w:rsidRDefault="00B67308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2018 geplanter Bestand an liquiden Eigenmitteln</w:t>
      </w:r>
    </w:p>
    <w:p w14:paraId="7E221CEB" w14:textId="12739E5B" w:rsidR="00B67308" w:rsidRPr="002771AD" w:rsidRDefault="00B67308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zum Jahresbeginn 2019</w:t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="00A114CE" w:rsidRPr="002771AD">
        <w:rPr>
          <w:rFonts w:ascii="Arial" w:hAnsi="Arial" w:cs="Arial"/>
        </w:rPr>
        <w:tab/>
        <w:t xml:space="preserve">  3.301.450</w:t>
      </w:r>
      <w:r w:rsidRPr="002771AD">
        <w:rPr>
          <w:rFonts w:ascii="Arial" w:hAnsi="Arial" w:cs="Arial"/>
        </w:rPr>
        <w:t xml:space="preserve"> Euro</w:t>
      </w:r>
    </w:p>
    <w:p w14:paraId="7DBC66F1" w14:textId="77777777" w:rsidR="002C2274" w:rsidRPr="002771AD" w:rsidRDefault="002C2274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im Gesamtfinanzhaushalt ausgewiesener</w:t>
      </w:r>
    </w:p>
    <w:p w14:paraId="3FC62A41" w14:textId="77777777" w:rsidR="002C2274" w:rsidRPr="002771AD" w:rsidRDefault="002C2274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Bestand an liquiden Eigenmitteln zum Jahresbeginn 2019 </w:t>
      </w:r>
      <w:r w:rsidRPr="002771AD">
        <w:rPr>
          <w:rFonts w:ascii="Arial" w:hAnsi="Arial" w:cs="Arial"/>
        </w:rPr>
        <w:tab/>
        <w:t>10.900.000 Euro</w:t>
      </w:r>
    </w:p>
    <w:p w14:paraId="304FDF73" w14:textId="387742DE" w:rsidR="00B67308" w:rsidRPr="002771AD" w:rsidRDefault="002C2274" w:rsidP="002771AD">
      <w:pPr>
        <w:rPr>
          <w:rFonts w:ascii="Arial" w:hAnsi="Arial" w:cs="Arial"/>
          <w:b/>
        </w:rPr>
      </w:pPr>
      <w:r w:rsidRPr="002771AD">
        <w:rPr>
          <w:rFonts w:ascii="Arial" w:hAnsi="Arial" w:cs="Arial"/>
          <w:b/>
        </w:rPr>
        <w:t>Liquiditätszuwachs</w:t>
      </w:r>
      <w:r w:rsidR="00B67308" w:rsidRPr="002771AD">
        <w:rPr>
          <w:rFonts w:ascii="Arial" w:hAnsi="Arial" w:cs="Arial"/>
          <w:b/>
        </w:rPr>
        <w:tab/>
      </w:r>
      <w:r w:rsidR="00B67308" w:rsidRPr="002771AD">
        <w:rPr>
          <w:rFonts w:ascii="Arial" w:hAnsi="Arial" w:cs="Arial"/>
          <w:b/>
        </w:rPr>
        <w:tab/>
      </w:r>
      <w:r w:rsidR="00B67308" w:rsidRPr="002771AD">
        <w:rPr>
          <w:rFonts w:ascii="Arial" w:hAnsi="Arial" w:cs="Arial"/>
          <w:b/>
        </w:rPr>
        <w:tab/>
      </w:r>
      <w:r w:rsidRPr="002771AD">
        <w:rPr>
          <w:rFonts w:ascii="Arial" w:hAnsi="Arial" w:cs="Arial"/>
          <w:b/>
        </w:rPr>
        <w:tab/>
      </w:r>
      <w:r w:rsidRPr="002771AD">
        <w:rPr>
          <w:rFonts w:ascii="Arial" w:hAnsi="Arial" w:cs="Arial"/>
          <w:b/>
        </w:rPr>
        <w:tab/>
      </w:r>
      <w:r w:rsidR="00D75BAF" w:rsidRPr="002771AD">
        <w:rPr>
          <w:rFonts w:ascii="Arial" w:hAnsi="Arial" w:cs="Arial"/>
          <w:b/>
        </w:rPr>
        <w:tab/>
        <w:t xml:space="preserve">  7.598.550</w:t>
      </w:r>
      <w:r w:rsidRPr="002771AD">
        <w:rPr>
          <w:rFonts w:ascii="Arial" w:hAnsi="Arial" w:cs="Arial"/>
          <w:b/>
        </w:rPr>
        <w:t xml:space="preserve"> Euro</w:t>
      </w:r>
    </w:p>
    <w:p w14:paraId="272A085F" w14:textId="77777777" w:rsidR="00362753" w:rsidRDefault="00362753" w:rsidP="002771AD">
      <w:pPr>
        <w:rPr>
          <w:rFonts w:ascii="Arial" w:hAnsi="Arial" w:cs="Arial"/>
        </w:rPr>
      </w:pPr>
    </w:p>
    <w:p w14:paraId="033BFE78" w14:textId="21071129" w:rsidR="002C2274" w:rsidRPr="002771AD" w:rsidRDefault="002C2274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lastRenderedPageBreak/>
        <w:t>D</w:t>
      </w:r>
      <w:r w:rsidR="007B55D9" w:rsidRPr="002771AD">
        <w:rPr>
          <w:rFonts w:ascii="Arial" w:hAnsi="Arial" w:cs="Arial"/>
        </w:rPr>
        <w:t>er hohe Kassenbestand kommt im W</w:t>
      </w:r>
      <w:r w:rsidRPr="002771AD">
        <w:rPr>
          <w:rFonts w:ascii="Arial" w:hAnsi="Arial" w:cs="Arial"/>
        </w:rPr>
        <w:t xml:space="preserve">esentlichen durch </w:t>
      </w:r>
      <w:r w:rsidRPr="002771AD">
        <w:rPr>
          <w:rFonts w:ascii="Arial" w:hAnsi="Arial" w:cs="Arial"/>
          <w:b/>
        </w:rPr>
        <w:t>nicht realisierte Investitionsvorhaben</w:t>
      </w:r>
      <w:r w:rsidRPr="002771AD">
        <w:rPr>
          <w:rFonts w:ascii="Arial" w:hAnsi="Arial" w:cs="Arial"/>
        </w:rPr>
        <w:t xml:space="preserve"> zustande und zu einem geringeren Teil durch erfreulich höhere Steuereinnahmen aufgrund bisher guter gesamtwirtschaftlicher Rahmen- und Randbedingungen.</w:t>
      </w:r>
    </w:p>
    <w:p w14:paraId="2F9E0435" w14:textId="6CC974CA" w:rsidR="007B55D9" w:rsidRPr="002771AD" w:rsidRDefault="007B55D9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Zwischenfazit: Es gehört eine ordentliche Chuzpe dazu, in 2019 mit dem Tenor „Haushalt der Superlative“ das Fell des (in 2018 erlegten) Bären ein zweites Mal den Bürgern zu verkaufen.</w:t>
      </w:r>
    </w:p>
    <w:p w14:paraId="79475993" w14:textId="77777777" w:rsidR="006D289F" w:rsidRPr="002771AD" w:rsidRDefault="006D289F" w:rsidP="002771AD">
      <w:pPr>
        <w:rPr>
          <w:rFonts w:ascii="Arial" w:hAnsi="Arial" w:cs="Arial"/>
        </w:rPr>
      </w:pPr>
    </w:p>
    <w:p w14:paraId="5C142B17" w14:textId="758576F6" w:rsidR="003633C2" w:rsidRPr="002771AD" w:rsidRDefault="003633C2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2019 </w:t>
      </w:r>
      <w:r w:rsidRPr="002771AD">
        <w:rPr>
          <w:rFonts w:ascii="Arial" w:hAnsi="Arial" w:cs="Arial"/>
          <w:b/>
        </w:rPr>
        <w:t>geplante</w:t>
      </w:r>
      <w:r w:rsidRPr="002771AD">
        <w:rPr>
          <w:rFonts w:ascii="Arial" w:hAnsi="Arial" w:cs="Arial"/>
        </w:rPr>
        <w:t xml:space="preserve"> </w:t>
      </w:r>
      <w:r w:rsidRPr="002771AD">
        <w:rPr>
          <w:rFonts w:ascii="Arial" w:hAnsi="Arial" w:cs="Arial"/>
          <w:b/>
        </w:rPr>
        <w:t xml:space="preserve">Auszahlungen </w:t>
      </w:r>
      <w:r w:rsidR="00C905EF" w:rsidRPr="002771AD">
        <w:rPr>
          <w:rFonts w:ascii="Arial" w:hAnsi="Arial" w:cs="Arial"/>
          <w:b/>
        </w:rPr>
        <w:t>für</w:t>
      </w:r>
      <w:r w:rsidRPr="002771AD">
        <w:rPr>
          <w:rFonts w:ascii="Arial" w:hAnsi="Arial" w:cs="Arial"/>
          <w:b/>
        </w:rPr>
        <w:t xml:space="preserve"> Investitionstätigkeit</w:t>
      </w:r>
      <w:r w:rsidRPr="002771AD">
        <w:rPr>
          <w:rFonts w:ascii="Arial" w:hAnsi="Arial" w:cs="Arial"/>
        </w:rPr>
        <w:tab/>
        <w:t>13.714.300 Euro</w:t>
      </w:r>
    </w:p>
    <w:p w14:paraId="0CC5E6ED" w14:textId="77777777" w:rsidR="003633C2" w:rsidRPr="002771AD" w:rsidRDefault="00963B6A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darin enthalten </w:t>
      </w:r>
      <w:r w:rsidRPr="002771AD">
        <w:rPr>
          <w:rFonts w:ascii="Arial" w:hAnsi="Arial" w:cs="Arial"/>
          <w:u w:val="single"/>
        </w:rPr>
        <w:t>neu</w:t>
      </w:r>
      <w:r w:rsidRPr="002771AD">
        <w:rPr>
          <w:rFonts w:ascii="Arial" w:hAnsi="Arial" w:cs="Arial"/>
        </w:rPr>
        <w:t xml:space="preserve"> hinzugekommene Investitionen 2019</w:t>
      </w:r>
      <w:proofErr w:type="gramStart"/>
      <w:r w:rsidRPr="002771AD">
        <w:rPr>
          <w:rFonts w:ascii="Arial" w:hAnsi="Arial" w:cs="Arial"/>
        </w:rPr>
        <w:tab/>
        <w:t xml:space="preserve">  3.071.500</w:t>
      </w:r>
      <w:proofErr w:type="gramEnd"/>
      <w:r w:rsidR="003633C2" w:rsidRPr="002771AD">
        <w:rPr>
          <w:rFonts w:ascii="Arial" w:hAnsi="Arial" w:cs="Arial"/>
        </w:rPr>
        <w:t xml:space="preserve"> Euro</w:t>
      </w:r>
    </w:p>
    <w:p w14:paraId="1F38D636" w14:textId="77777777" w:rsidR="007F2D1E" w:rsidRPr="002771AD" w:rsidRDefault="007F2D1E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geplante Auszahlungen aus Investitionsstau</w:t>
      </w:r>
    </w:p>
    <w:p w14:paraId="627E8D5D" w14:textId="5F7BD408" w:rsidR="007F2D1E" w:rsidRPr="002771AD" w:rsidRDefault="007F2D1E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einschl. Mehrungen, Erweiterungen</w:t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  <w:t>10.642.000 Euro</w:t>
      </w:r>
    </w:p>
    <w:p w14:paraId="64FA7C7C" w14:textId="20D01392" w:rsidR="007F2D1E" w:rsidRPr="002771AD" w:rsidRDefault="007F2D1E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Zwischenfazit: Die Rekordinvestition</w:t>
      </w:r>
      <w:r w:rsidR="00154820" w:rsidRPr="002771AD">
        <w:rPr>
          <w:rFonts w:ascii="Arial" w:hAnsi="Arial" w:cs="Arial"/>
        </w:rPr>
        <w:t xml:space="preserve"> in Höhe von 13,7 Millionen</w:t>
      </w:r>
      <w:r w:rsidR="006D289F" w:rsidRPr="002771AD">
        <w:rPr>
          <w:rFonts w:ascii="Arial" w:hAnsi="Arial" w:cs="Arial"/>
        </w:rPr>
        <w:t xml:space="preserve"> käme</w:t>
      </w:r>
      <w:r w:rsidRPr="002771AD">
        <w:rPr>
          <w:rFonts w:ascii="Arial" w:hAnsi="Arial" w:cs="Arial"/>
        </w:rPr>
        <w:t xml:space="preserve"> </w:t>
      </w:r>
      <w:r w:rsidR="00D75BAF" w:rsidRPr="002771AD">
        <w:rPr>
          <w:rFonts w:ascii="Arial" w:hAnsi="Arial" w:cs="Arial"/>
        </w:rPr>
        <w:t xml:space="preserve">überwiegend </w:t>
      </w:r>
      <w:r w:rsidRPr="002771AD">
        <w:rPr>
          <w:rFonts w:ascii="Arial" w:hAnsi="Arial" w:cs="Arial"/>
        </w:rPr>
        <w:t xml:space="preserve">durch </w:t>
      </w:r>
      <w:bookmarkStart w:id="0" w:name="_GoBack"/>
      <w:bookmarkEnd w:id="0"/>
      <w:r w:rsidRPr="002771AD">
        <w:rPr>
          <w:rFonts w:ascii="Arial" w:hAnsi="Arial" w:cs="Arial"/>
        </w:rPr>
        <w:t xml:space="preserve">Auszahlungen zum Abbau </w:t>
      </w:r>
      <w:r w:rsidR="00154820" w:rsidRPr="002771AD">
        <w:rPr>
          <w:rFonts w:ascii="Arial" w:hAnsi="Arial" w:cs="Arial"/>
        </w:rPr>
        <w:t>des Investitionsstaus zustande.</w:t>
      </w:r>
    </w:p>
    <w:p w14:paraId="788684A0" w14:textId="32191466" w:rsidR="00154820" w:rsidRPr="002771AD" w:rsidRDefault="00154820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Nun stellt sich die Frage, wird es in 2019 überhaupt zu den Auszahlungen </w:t>
      </w:r>
      <w:r w:rsidR="00D96337" w:rsidRPr="002771AD">
        <w:rPr>
          <w:rFonts w:ascii="Arial" w:hAnsi="Arial" w:cs="Arial"/>
        </w:rPr>
        <w:t xml:space="preserve">für Investitionen in der Höhe von 13,7 Millionen kommen? Vermutlich nicht! Der FWV-Haushaltsexperte ahnt wahrscheinlich </w:t>
      </w:r>
      <w:r w:rsidR="00D96337" w:rsidRPr="002771AD">
        <w:rPr>
          <w:rFonts w:ascii="Arial" w:hAnsi="Arial" w:cs="Arial"/>
          <w:b/>
        </w:rPr>
        <w:t>hausspezifische Umsetzungsprobleme</w:t>
      </w:r>
      <w:r w:rsidR="00D96337" w:rsidRPr="002771AD">
        <w:rPr>
          <w:rFonts w:ascii="Arial" w:hAnsi="Arial" w:cs="Arial"/>
        </w:rPr>
        <w:t xml:space="preserve"> und sieht – wie auch der Internationale Währungsfond – dunkle Wolken am Horizont, sodass er aus Erfahrung formuliert: „Unsere ... Investitionen werden uns ... </w:t>
      </w:r>
      <w:r w:rsidR="00641363" w:rsidRPr="002771AD">
        <w:rPr>
          <w:rFonts w:ascii="Arial" w:hAnsi="Arial" w:cs="Arial"/>
        </w:rPr>
        <w:t xml:space="preserve"> sehr beschäftigen</w:t>
      </w:r>
      <w:r w:rsidR="00D96337" w:rsidRPr="002771AD">
        <w:rPr>
          <w:rFonts w:ascii="Arial" w:hAnsi="Arial" w:cs="Arial"/>
        </w:rPr>
        <w:t>“</w:t>
      </w:r>
      <w:r w:rsidR="00641363" w:rsidRPr="002771AD">
        <w:rPr>
          <w:rFonts w:ascii="Arial" w:hAnsi="Arial" w:cs="Arial"/>
        </w:rPr>
        <w:t xml:space="preserve">, was heißen mag, dass ein Streichkonzert nicht auszuschließen ist. </w:t>
      </w:r>
      <w:r w:rsidR="00D96337" w:rsidRPr="002771AD">
        <w:rPr>
          <w:rFonts w:ascii="Arial" w:hAnsi="Arial" w:cs="Arial"/>
        </w:rPr>
        <w:t xml:space="preserve"> </w:t>
      </w:r>
      <w:r w:rsidR="00EB1330" w:rsidRPr="002771AD">
        <w:rPr>
          <w:rFonts w:ascii="Arial" w:hAnsi="Arial" w:cs="Arial"/>
        </w:rPr>
        <w:t>Deshalb muss b</w:t>
      </w:r>
      <w:r w:rsidR="00641363" w:rsidRPr="002771AD">
        <w:rPr>
          <w:rFonts w:ascii="Arial" w:hAnsi="Arial" w:cs="Arial"/>
        </w:rPr>
        <w:t xml:space="preserve">ereits heute, falls es das wirklich nicht geben sollte, eine Priorisierung, Klassifizierung der einzelnen </w:t>
      </w:r>
      <w:r w:rsidR="00A74391" w:rsidRPr="002771AD">
        <w:rPr>
          <w:rFonts w:ascii="Arial" w:hAnsi="Arial" w:cs="Arial"/>
        </w:rPr>
        <w:t xml:space="preserve">Investitionsvorhaben vorgenommen werden: dringend, aufschiebbar, „nice </w:t>
      </w:r>
      <w:proofErr w:type="spellStart"/>
      <w:r w:rsidR="00A74391" w:rsidRPr="002771AD">
        <w:rPr>
          <w:rFonts w:ascii="Arial" w:hAnsi="Arial" w:cs="Arial"/>
        </w:rPr>
        <w:t>to</w:t>
      </w:r>
      <w:proofErr w:type="spellEnd"/>
      <w:r w:rsidR="00A74391" w:rsidRPr="002771AD">
        <w:rPr>
          <w:rFonts w:ascii="Arial" w:hAnsi="Arial" w:cs="Arial"/>
        </w:rPr>
        <w:t xml:space="preserve"> </w:t>
      </w:r>
      <w:proofErr w:type="spellStart"/>
      <w:r w:rsidR="00A74391" w:rsidRPr="002771AD">
        <w:rPr>
          <w:rFonts w:ascii="Arial" w:hAnsi="Arial" w:cs="Arial"/>
        </w:rPr>
        <w:t>have</w:t>
      </w:r>
      <w:proofErr w:type="spellEnd"/>
      <w:r w:rsidR="00A74391" w:rsidRPr="002771AD">
        <w:rPr>
          <w:rFonts w:ascii="Arial" w:hAnsi="Arial" w:cs="Arial"/>
        </w:rPr>
        <w:t xml:space="preserve">“. Damit wäre ein Plan B und C erkennbar. </w:t>
      </w:r>
    </w:p>
    <w:p w14:paraId="60D370E1" w14:textId="77777777" w:rsidR="006D289F" w:rsidRPr="002771AD" w:rsidRDefault="006D289F" w:rsidP="002771AD">
      <w:pPr>
        <w:rPr>
          <w:rFonts w:ascii="Arial" w:hAnsi="Arial" w:cs="Arial"/>
          <w:b/>
        </w:rPr>
      </w:pPr>
    </w:p>
    <w:p w14:paraId="4666AEF6" w14:textId="7D101025" w:rsidR="00A74391" w:rsidRPr="002771AD" w:rsidRDefault="00B61A25" w:rsidP="002771AD">
      <w:pPr>
        <w:rPr>
          <w:rFonts w:ascii="Arial" w:hAnsi="Arial" w:cs="Arial"/>
          <w:b/>
        </w:rPr>
      </w:pPr>
      <w:r w:rsidRPr="002771AD">
        <w:rPr>
          <w:rFonts w:ascii="Arial" w:hAnsi="Arial" w:cs="Arial"/>
          <w:b/>
        </w:rPr>
        <w:t>Personalaufwendungen</w:t>
      </w:r>
    </w:p>
    <w:p w14:paraId="2AD9B561" w14:textId="30E238E5" w:rsidR="00B61A25" w:rsidRPr="002771AD" w:rsidRDefault="00B61A25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Richtigerweise hat Gemeinderat </w:t>
      </w:r>
      <w:proofErr w:type="spellStart"/>
      <w:r w:rsidRPr="002771AD">
        <w:rPr>
          <w:rFonts w:ascii="Arial" w:hAnsi="Arial" w:cs="Arial"/>
        </w:rPr>
        <w:t>Terwart</w:t>
      </w:r>
      <w:proofErr w:type="spellEnd"/>
      <w:r w:rsidRPr="002771AD">
        <w:rPr>
          <w:rFonts w:ascii="Arial" w:hAnsi="Arial" w:cs="Arial"/>
        </w:rPr>
        <w:t xml:space="preserve"> in der ersten Lesung d</w:t>
      </w:r>
      <w:r w:rsidR="00F94215" w:rsidRPr="002771AD">
        <w:rPr>
          <w:rFonts w:ascii="Arial" w:hAnsi="Arial" w:cs="Arial"/>
        </w:rPr>
        <w:t>es Haushaltsplans 2019 auf den A</w:t>
      </w:r>
      <w:r w:rsidRPr="002771AD">
        <w:rPr>
          <w:rFonts w:ascii="Arial" w:hAnsi="Arial" w:cs="Arial"/>
        </w:rPr>
        <w:t>nstieg der Per</w:t>
      </w:r>
      <w:r w:rsidR="00F94215" w:rsidRPr="002771AD">
        <w:rPr>
          <w:rFonts w:ascii="Arial" w:hAnsi="Arial" w:cs="Arial"/>
        </w:rPr>
        <w:t>s</w:t>
      </w:r>
      <w:r w:rsidRPr="002771AD">
        <w:rPr>
          <w:rFonts w:ascii="Arial" w:hAnsi="Arial" w:cs="Arial"/>
        </w:rPr>
        <w:t>onalaufwendungen</w:t>
      </w:r>
      <w:r w:rsidR="00F94215" w:rsidRPr="002771AD">
        <w:rPr>
          <w:rFonts w:ascii="Arial" w:hAnsi="Arial" w:cs="Arial"/>
        </w:rPr>
        <w:t xml:space="preserve"> hingewiesen. Die Frage ist, ob dieser Anstieg im Wesentlichen mit einer Zunahme der Bürokratie und dem zunehmenden Informationsbedürfnis der Bürger zu beantworten ist.</w:t>
      </w:r>
    </w:p>
    <w:p w14:paraId="55FE4706" w14:textId="285D7D85" w:rsidR="00F94215" w:rsidRPr="002771AD" w:rsidRDefault="00F94215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Personalaufwendungen 2012</w:t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  <w:t>2.994196 Euro</w:t>
      </w:r>
    </w:p>
    <w:p w14:paraId="4B113796" w14:textId="017DAD5A" w:rsidR="00F94215" w:rsidRPr="002771AD" w:rsidRDefault="00F94215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Personalaufwendungen 2018 Plan</w:t>
      </w:r>
      <w:r w:rsidRPr="002771AD">
        <w:rPr>
          <w:rFonts w:ascii="Arial" w:hAnsi="Arial" w:cs="Arial"/>
        </w:rPr>
        <w:tab/>
        <w:t>4.541.200 Euro</w:t>
      </w:r>
    </w:p>
    <w:p w14:paraId="6E8E4B95" w14:textId="39F8AD2B" w:rsidR="00F94215" w:rsidRPr="002771AD" w:rsidRDefault="00F94215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Personalaufwendungen 201</w:t>
      </w:r>
      <w:r w:rsidR="00C905EF" w:rsidRPr="002771AD">
        <w:rPr>
          <w:rFonts w:ascii="Arial" w:hAnsi="Arial" w:cs="Arial"/>
        </w:rPr>
        <w:t>9</w:t>
      </w:r>
      <w:r w:rsidRPr="002771AD">
        <w:rPr>
          <w:rFonts w:ascii="Arial" w:hAnsi="Arial" w:cs="Arial"/>
        </w:rPr>
        <w:t xml:space="preserve"> Plan</w:t>
      </w:r>
      <w:r w:rsidRPr="002771AD">
        <w:rPr>
          <w:rFonts w:ascii="Arial" w:hAnsi="Arial" w:cs="Arial"/>
        </w:rPr>
        <w:tab/>
        <w:t>5.082.800 Euro</w:t>
      </w:r>
    </w:p>
    <w:p w14:paraId="6DFE1E01" w14:textId="75B326C0" w:rsidR="00F94215" w:rsidRPr="002771AD" w:rsidRDefault="00F94215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Nimmt man die jährlichen Tarifanpassungen mit 4 Prozent und die inflationsbereinigten Personalaufwendungen mit </w:t>
      </w:r>
      <w:r w:rsidR="00BA45A6" w:rsidRPr="002771AD">
        <w:rPr>
          <w:rFonts w:ascii="Arial" w:hAnsi="Arial" w:cs="Arial"/>
        </w:rPr>
        <w:t xml:space="preserve">durchschnittlich </w:t>
      </w:r>
      <w:r w:rsidRPr="002771AD">
        <w:rPr>
          <w:rFonts w:ascii="Arial" w:hAnsi="Arial" w:cs="Arial"/>
        </w:rPr>
        <w:t>70.000 Euro pro</w:t>
      </w:r>
      <w:r w:rsidR="00BA45A6" w:rsidRPr="002771AD">
        <w:rPr>
          <w:rFonts w:ascii="Arial" w:hAnsi="Arial" w:cs="Arial"/>
        </w:rPr>
        <w:t xml:space="preserve"> Kopf per annum an, dann werden rechnerisch 2019 circa 16 – 17 Köpfe (Vollzeitbeschäftigte) mehr beschäftigt sein als noch in 2011. </w:t>
      </w:r>
    </w:p>
    <w:p w14:paraId="0E0A2C13" w14:textId="2C4ADE08" w:rsidR="00923157" w:rsidRPr="002771AD" w:rsidRDefault="00BA45A6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Industrie, Gewerbe, Handel, Banken und Versicherungen </w:t>
      </w:r>
      <w:r w:rsidR="009920FB" w:rsidRPr="002771AD">
        <w:rPr>
          <w:rFonts w:ascii="Arial" w:hAnsi="Arial" w:cs="Arial"/>
        </w:rPr>
        <w:t xml:space="preserve">sind seit langem mit ständig zunehmenden Dokumentationspflichten und </w:t>
      </w:r>
      <w:r w:rsidR="00B13719" w:rsidRPr="002771AD">
        <w:rPr>
          <w:rFonts w:ascii="Arial" w:hAnsi="Arial" w:cs="Arial"/>
        </w:rPr>
        <w:t>„</w:t>
      </w:r>
      <w:r w:rsidR="009920FB" w:rsidRPr="002771AD">
        <w:rPr>
          <w:rFonts w:ascii="Arial" w:hAnsi="Arial" w:cs="Arial"/>
        </w:rPr>
        <w:t>bürokratischen</w:t>
      </w:r>
      <w:r w:rsidR="00B13719" w:rsidRPr="002771AD">
        <w:rPr>
          <w:rFonts w:ascii="Arial" w:hAnsi="Arial" w:cs="Arial"/>
        </w:rPr>
        <w:t>“</w:t>
      </w:r>
      <w:r w:rsidR="009920FB" w:rsidRPr="002771AD">
        <w:rPr>
          <w:rFonts w:ascii="Arial" w:hAnsi="Arial" w:cs="Arial"/>
        </w:rPr>
        <w:t xml:space="preserve"> Anforderungen konfrontiert </w:t>
      </w:r>
      <w:r w:rsidR="006D0672" w:rsidRPr="002771AD">
        <w:rPr>
          <w:rFonts w:ascii="Arial" w:hAnsi="Arial" w:cs="Arial"/>
        </w:rPr>
        <w:t xml:space="preserve">und müssen </w:t>
      </w:r>
      <w:r w:rsidRPr="002771AD">
        <w:rPr>
          <w:rFonts w:ascii="Arial" w:hAnsi="Arial" w:cs="Arial"/>
        </w:rPr>
        <w:t>jährliche Tarifanpassungen</w:t>
      </w:r>
      <w:r w:rsidR="009920FB" w:rsidRPr="002771AD">
        <w:rPr>
          <w:rFonts w:ascii="Arial" w:hAnsi="Arial" w:cs="Arial"/>
        </w:rPr>
        <w:t>,</w:t>
      </w:r>
      <w:r w:rsidRPr="002771AD">
        <w:rPr>
          <w:rFonts w:ascii="Arial" w:hAnsi="Arial" w:cs="Arial"/>
        </w:rPr>
        <w:t xml:space="preserve"> </w:t>
      </w:r>
      <w:r w:rsidR="006D0672" w:rsidRPr="002771AD">
        <w:rPr>
          <w:rFonts w:ascii="Arial" w:hAnsi="Arial" w:cs="Arial"/>
        </w:rPr>
        <w:t xml:space="preserve">seit etlichen Jahren </w:t>
      </w:r>
      <w:r w:rsidRPr="002771AD">
        <w:rPr>
          <w:rFonts w:ascii="Arial" w:hAnsi="Arial" w:cs="Arial"/>
        </w:rPr>
        <w:t>auch im Bereich von Verwaltung, Entwicklung und Vertrieb</w:t>
      </w:r>
      <w:r w:rsidR="009920FB" w:rsidRPr="002771AD">
        <w:rPr>
          <w:rFonts w:ascii="Arial" w:hAnsi="Arial" w:cs="Arial"/>
        </w:rPr>
        <w:t>,</w:t>
      </w:r>
      <w:r w:rsidRPr="002771AD">
        <w:rPr>
          <w:rFonts w:ascii="Arial" w:hAnsi="Arial" w:cs="Arial"/>
        </w:rPr>
        <w:t xml:space="preserve"> zumindest teilweise durch Effizienzsteigerung</w:t>
      </w:r>
      <w:r w:rsidR="009920FB" w:rsidRPr="002771AD">
        <w:rPr>
          <w:rFonts w:ascii="Arial" w:hAnsi="Arial" w:cs="Arial"/>
        </w:rPr>
        <w:t xml:space="preserve">, Lerneffekte, Optimierung von Abläufen, Vernichtung unproduktiver Arbeit </w:t>
      </w:r>
      <w:proofErr w:type="spellStart"/>
      <w:r w:rsidR="009920FB" w:rsidRPr="002771AD">
        <w:rPr>
          <w:rFonts w:ascii="Arial" w:hAnsi="Arial" w:cs="Arial"/>
        </w:rPr>
        <w:t>u.ä.</w:t>
      </w:r>
      <w:proofErr w:type="spellEnd"/>
      <w:r w:rsidRPr="002771AD">
        <w:rPr>
          <w:rFonts w:ascii="Arial" w:hAnsi="Arial" w:cs="Arial"/>
        </w:rPr>
        <w:t xml:space="preserve"> </w:t>
      </w:r>
      <w:r w:rsidR="00B13719" w:rsidRPr="002771AD">
        <w:rPr>
          <w:rFonts w:ascii="Arial" w:hAnsi="Arial" w:cs="Arial"/>
        </w:rPr>
        <w:t>minimieren oder auch auf</w:t>
      </w:r>
      <w:r w:rsidR="006D0672" w:rsidRPr="002771AD">
        <w:rPr>
          <w:rFonts w:ascii="Arial" w:hAnsi="Arial" w:cs="Arial"/>
        </w:rPr>
        <w:t>fangen, wollen sie im internationalen Wettbewerb bestehen.</w:t>
      </w:r>
      <w:r w:rsidR="009920FB" w:rsidRPr="002771AD">
        <w:rPr>
          <w:rFonts w:ascii="Arial" w:hAnsi="Arial" w:cs="Arial"/>
        </w:rPr>
        <w:t xml:space="preserve"> </w:t>
      </w:r>
    </w:p>
    <w:p w14:paraId="146C461B" w14:textId="77777777" w:rsidR="00553759" w:rsidRPr="002771AD" w:rsidRDefault="006F45EE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Übertragen auf die Verwaltung: </w:t>
      </w:r>
      <w:r w:rsidR="0095122E" w:rsidRPr="002771AD">
        <w:rPr>
          <w:rFonts w:ascii="Arial" w:hAnsi="Arial" w:cs="Arial"/>
        </w:rPr>
        <w:t>Wäre ein strukturiertes, kontinuierliches Effizienzsteigerungsprogramm mit einem jährlichen Potenzial von 4 Prozent umgesetzt worden, dann hieße dies, dass sich der „Arbeitsaufwand, die Arbeitsmenge“ seit 2011 mehr oder weniger verdoppelt</w:t>
      </w:r>
      <w:r w:rsidRPr="002771AD">
        <w:rPr>
          <w:rFonts w:ascii="Arial" w:hAnsi="Arial" w:cs="Arial"/>
        </w:rPr>
        <w:t xml:space="preserve"> hätte. </w:t>
      </w:r>
      <w:r w:rsidR="006D289F" w:rsidRPr="002771AD">
        <w:rPr>
          <w:rFonts w:ascii="Arial" w:hAnsi="Arial" w:cs="Arial"/>
        </w:rPr>
        <w:t xml:space="preserve">Auch wenn es in einzelnen Bereichen Nachholbedarf (Bildung, Erziehung, ...) gegeben haben mag, dann ist die Notwendigkeit des Personalaufbaus in der gegenwärtigen Größenordnung </w:t>
      </w:r>
      <w:r w:rsidR="00553759" w:rsidRPr="002771AD">
        <w:rPr>
          <w:rFonts w:ascii="Arial" w:hAnsi="Arial" w:cs="Arial"/>
        </w:rPr>
        <w:t xml:space="preserve">für die Bürger </w:t>
      </w:r>
      <w:r w:rsidR="006D289F" w:rsidRPr="002771AD">
        <w:rPr>
          <w:rFonts w:ascii="Arial" w:hAnsi="Arial" w:cs="Arial"/>
        </w:rPr>
        <w:t xml:space="preserve">nicht nachvollziehbar. </w:t>
      </w:r>
    </w:p>
    <w:p w14:paraId="3A0D0B6B" w14:textId="7C679FF6" w:rsidR="00873F18" w:rsidRPr="002771AD" w:rsidRDefault="00873F18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D</w:t>
      </w:r>
      <w:r w:rsidR="00553759" w:rsidRPr="002771AD">
        <w:rPr>
          <w:rFonts w:ascii="Arial" w:hAnsi="Arial" w:cs="Arial"/>
        </w:rPr>
        <w:t>er aus einem zugenommenen</w:t>
      </w:r>
      <w:r w:rsidRPr="002771AD">
        <w:rPr>
          <w:rFonts w:ascii="Arial" w:hAnsi="Arial" w:cs="Arial"/>
        </w:rPr>
        <w:t xml:space="preserve"> Informationsbedürfnis der Bürgerschaft </w:t>
      </w:r>
      <w:r w:rsidR="00553759" w:rsidRPr="002771AD">
        <w:rPr>
          <w:rFonts w:ascii="Arial" w:hAnsi="Arial" w:cs="Arial"/>
        </w:rPr>
        <w:t>vorstellbare</w:t>
      </w:r>
      <w:r w:rsidRPr="002771AD">
        <w:rPr>
          <w:rFonts w:ascii="Arial" w:hAnsi="Arial" w:cs="Arial"/>
        </w:rPr>
        <w:t xml:space="preserve"> Personala</w:t>
      </w:r>
      <w:r w:rsidR="00553759" w:rsidRPr="002771AD">
        <w:rPr>
          <w:rFonts w:ascii="Arial" w:hAnsi="Arial" w:cs="Arial"/>
        </w:rPr>
        <w:t>ufwand ist eher</w:t>
      </w:r>
      <w:r w:rsidRPr="002771AD">
        <w:rPr>
          <w:rFonts w:ascii="Arial" w:hAnsi="Arial" w:cs="Arial"/>
        </w:rPr>
        <w:t xml:space="preserve"> vernachlässigbar.</w:t>
      </w:r>
    </w:p>
    <w:p w14:paraId="4F349719" w14:textId="6B3E1600" w:rsidR="00B13719" w:rsidRPr="002771AD" w:rsidRDefault="006D289F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Eine weitergehende </w:t>
      </w:r>
      <w:r w:rsidR="00873F18" w:rsidRPr="002771AD">
        <w:rPr>
          <w:rFonts w:ascii="Arial" w:hAnsi="Arial" w:cs="Arial"/>
        </w:rPr>
        <w:t>Erörterung</w:t>
      </w:r>
      <w:r w:rsidRPr="002771AD">
        <w:rPr>
          <w:rFonts w:ascii="Arial" w:hAnsi="Arial" w:cs="Arial"/>
        </w:rPr>
        <w:t xml:space="preserve"> im Gemeinderat wäre wünschenswert.</w:t>
      </w:r>
    </w:p>
    <w:p w14:paraId="5F4C681F" w14:textId="77777777" w:rsidR="006D289F" w:rsidRPr="002771AD" w:rsidRDefault="006D0672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Daher stellen sich Fragen: </w:t>
      </w:r>
    </w:p>
    <w:p w14:paraId="78A22D80" w14:textId="275009A8" w:rsidR="006D289F" w:rsidRPr="002771AD" w:rsidRDefault="006D0672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Mit welchem Ratio</w:t>
      </w:r>
      <w:r w:rsidR="00C905EF" w:rsidRPr="002771AD">
        <w:rPr>
          <w:rFonts w:ascii="Arial" w:hAnsi="Arial" w:cs="Arial"/>
        </w:rPr>
        <w:t>nalisierungs</w:t>
      </w:r>
      <w:r w:rsidRPr="002771AD">
        <w:rPr>
          <w:rFonts w:ascii="Arial" w:hAnsi="Arial" w:cs="Arial"/>
        </w:rPr>
        <w:t xml:space="preserve">potenzial wird in Bezug auf Personalaufwendungen gerechnet? </w:t>
      </w:r>
      <w:r w:rsidR="006D289F" w:rsidRPr="002771AD">
        <w:rPr>
          <w:rFonts w:ascii="Arial" w:hAnsi="Arial" w:cs="Arial"/>
        </w:rPr>
        <w:t xml:space="preserve"> </w:t>
      </w:r>
    </w:p>
    <w:p w14:paraId="5DD798EF" w14:textId="00B88C21" w:rsidR="006D289F" w:rsidRPr="002771AD" w:rsidRDefault="006D0672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Gibt es regelmäßige Effizienzsteigerungsprogramme? Wann wurde zuletzt ein solches durchgeführt?</w:t>
      </w:r>
      <w:r w:rsidR="006D289F" w:rsidRPr="002771AD">
        <w:rPr>
          <w:rFonts w:ascii="Arial" w:hAnsi="Arial" w:cs="Arial"/>
        </w:rPr>
        <w:t xml:space="preserve"> </w:t>
      </w:r>
    </w:p>
    <w:p w14:paraId="1B39B234" w14:textId="3312F087" w:rsidR="006D0672" w:rsidRPr="002771AD" w:rsidRDefault="006D289F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Wird</w:t>
      </w:r>
      <w:r w:rsidR="006F45EE" w:rsidRPr="002771AD">
        <w:rPr>
          <w:rFonts w:ascii="Arial" w:hAnsi="Arial" w:cs="Arial"/>
        </w:rPr>
        <w:t xml:space="preserve"> die Personalentwicklung mittelfristig geplant und im </w:t>
      </w:r>
      <w:r w:rsidRPr="002771AD">
        <w:rPr>
          <w:rFonts w:ascii="Arial" w:hAnsi="Arial" w:cs="Arial"/>
        </w:rPr>
        <w:t>Gemeinderat öffentlich erörtert? (Es geht nicht um individuelle Personalmaßnahmen.)</w:t>
      </w:r>
    </w:p>
    <w:p w14:paraId="30BC093F" w14:textId="77777777" w:rsidR="00553759" w:rsidRPr="002771AD" w:rsidRDefault="00553759" w:rsidP="002771AD">
      <w:pPr>
        <w:rPr>
          <w:rFonts w:ascii="Arial" w:hAnsi="Arial" w:cs="Arial"/>
        </w:rPr>
      </w:pPr>
    </w:p>
    <w:p w14:paraId="1E5A5C60" w14:textId="7A6DEA7B" w:rsidR="00923157" w:rsidRPr="002771AD" w:rsidRDefault="00923157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lastRenderedPageBreak/>
        <w:t xml:space="preserve">Brechen auf der Ertragsseite die </w:t>
      </w:r>
      <w:r w:rsidRPr="002771AD">
        <w:rPr>
          <w:rFonts w:ascii="Arial" w:hAnsi="Arial" w:cs="Arial"/>
          <w:b/>
        </w:rPr>
        <w:t>Einnahmen aus Gewerbesteuer</w:t>
      </w:r>
      <w:r w:rsidRPr="002771AD">
        <w:rPr>
          <w:rFonts w:ascii="Arial" w:hAnsi="Arial" w:cs="Arial"/>
        </w:rPr>
        <w:t xml:space="preserve"> infolge </w:t>
      </w:r>
      <w:r w:rsidRPr="002771AD">
        <w:rPr>
          <w:rFonts w:ascii="Arial" w:hAnsi="Arial" w:cs="Arial"/>
          <w:b/>
        </w:rPr>
        <w:t>konjunktureller Schwächen</w:t>
      </w:r>
      <w:r w:rsidRPr="002771AD">
        <w:rPr>
          <w:rFonts w:ascii="Arial" w:hAnsi="Arial" w:cs="Arial"/>
        </w:rPr>
        <w:t xml:space="preserve"> nur um wenige Hunderttausend Euro gegenüber dem aktuellen Ansatz ein, dann stellt sich die Frage, wie ein positives Ergebnis erwirtschaftet werden kann. </w:t>
      </w:r>
      <w:r w:rsidR="00304570" w:rsidRPr="002771AD">
        <w:rPr>
          <w:rFonts w:ascii="Arial" w:hAnsi="Arial" w:cs="Arial"/>
        </w:rPr>
        <w:t xml:space="preserve">Betrachtet man die übrigen Erträge als in etwa konstant und die Personalaufwendungen als unveränderliche Größe, dann geraten die Abschreibungen in den Fokus. Grund, weshalb der FWV-Haushaltsexperte nachdenklich erwähnt, dass die Abschreibungen erst mal erwirtschaftet werden müssen. Rechenbeispiel: </w:t>
      </w:r>
      <w:r w:rsidR="00C905EF" w:rsidRPr="002771AD">
        <w:rPr>
          <w:rFonts w:ascii="Arial" w:hAnsi="Arial" w:cs="Arial"/>
        </w:rPr>
        <w:t>Ausgleich</w:t>
      </w:r>
      <w:r w:rsidR="000E1162" w:rsidRPr="002771AD">
        <w:rPr>
          <w:rFonts w:ascii="Arial" w:hAnsi="Arial" w:cs="Arial"/>
        </w:rPr>
        <w:t xml:space="preserve"> von 400.000 Euro Ergebniseinbruch durch Aufschub von Investitionen und Abschreibungen bedeutet bei einer durchschnittlich angenommenen Nutzungsdauer von 10 Jahren</w:t>
      </w:r>
      <w:r w:rsidR="006F45EE" w:rsidRPr="002771AD">
        <w:rPr>
          <w:rFonts w:ascii="Arial" w:hAnsi="Arial" w:cs="Arial"/>
        </w:rPr>
        <w:t>,</w:t>
      </w:r>
      <w:r w:rsidR="000E1162" w:rsidRPr="002771AD">
        <w:rPr>
          <w:rFonts w:ascii="Arial" w:hAnsi="Arial" w:cs="Arial"/>
        </w:rPr>
        <w:t xml:space="preserve"> Investitionen in Höhe von 4.000.000 Euro </w:t>
      </w:r>
      <w:r w:rsidR="000E1162" w:rsidRPr="002771AD">
        <w:rPr>
          <w:rFonts w:ascii="Arial" w:hAnsi="Arial" w:cs="Arial"/>
          <w:u w:val="single"/>
        </w:rPr>
        <w:t>nicht</w:t>
      </w:r>
      <w:r w:rsidR="000E1162" w:rsidRPr="002771AD">
        <w:rPr>
          <w:rFonts w:ascii="Arial" w:hAnsi="Arial" w:cs="Arial"/>
        </w:rPr>
        <w:t xml:space="preserve"> zu </w:t>
      </w:r>
      <w:r w:rsidR="006F45EE" w:rsidRPr="002771AD">
        <w:rPr>
          <w:rFonts w:ascii="Arial" w:hAnsi="Arial" w:cs="Arial"/>
        </w:rPr>
        <w:t>initiieren</w:t>
      </w:r>
      <w:r w:rsidR="000E1162" w:rsidRPr="002771AD">
        <w:rPr>
          <w:rFonts w:ascii="Arial" w:hAnsi="Arial" w:cs="Arial"/>
        </w:rPr>
        <w:t xml:space="preserve"> und </w:t>
      </w:r>
      <w:r w:rsidR="006F45EE" w:rsidRPr="002771AD">
        <w:rPr>
          <w:rFonts w:ascii="Arial" w:hAnsi="Arial" w:cs="Arial"/>
        </w:rPr>
        <w:t xml:space="preserve">auf einen späteren Zeitpunkt </w:t>
      </w:r>
      <w:r w:rsidR="000E1162" w:rsidRPr="002771AD">
        <w:rPr>
          <w:rFonts w:ascii="Arial" w:hAnsi="Arial" w:cs="Arial"/>
        </w:rPr>
        <w:t xml:space="preserve">zu verschieben. </w:t>
      </w:r>
      <w:r w:rsidR="00553759" w:rsidRPr="002771AD">
        <w:rPr>
          <w:rFonts w:ascii="Arial" w:hAnsi="Arial" w:cs="Arial"/>
        </w:rPr>
        <w:t>Der Abbruch einer Investitionsmaßnahme kann sich allerdings als Ergebnis verschlechternd herausstellen.</w:t>
      </w:r>
    </w:p>
    <w:p w14:paraId="1F19B406" w14:textId="023DF264" w:rsidR="00BE4ED6" w:rsidRPr="002771AD" w:rsidRDefault="00BE4ED6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Es sollte und </w:t>
      </w:r>
      <w:r w:rsidR="009D13DE" w:rsidRPr="002771AD">
        <w:rPr>
          <w:rFonts w:ascii="Arial" w:hAnsi="Arial" w:cs="Arial"/>
        </w:rPr>
        <w:t>muss</w:t>
      </w:r>
      <w:r w:rsidRPr="002771AD">
        <w:rPr>
          <w:rFonts w:ascii="Arial" w:hAnsi="Arial" w:cs="Arial"/>
        </w:rPr>
        <w:t xml:space="preserve"> </w:t>
      </w:r>
      <w:r w:rsidR="006F45EE" w:rsidRPr="002771AD">
        <w:rPr>
          <w:rFonts w:ascii="Arial" w:hAnsi="Arial" w:cs="Arial"/>
        </w:rPr>
        <w:t xml:space="preserve">deshalb </w:t>
      </w:r>
      <w:r w:rsidRPr="002771AD">
        <w:rPr>
          <w:rFonts w:ascii="Arial" w:hAnsi="Arial" w:cs="Arial"/>
        </w:rPr>
        <w:t xml:space="preserve">davon ausgegangen werden, dass die im Haushaltsplan 2019 ausgewiesenen </w:t>
      </w:r>
      <w:r w:rsidRPr="002771AD">
        <w:rPr>
          <w:rFonts w:ascii="Arial" w:hAnsi="Arial" w:cs="Arial"/>
          <w:b/>
        </w:rPr>
        <w:t xml:space="preserve">Investitionen </w:t>
      </w:r>
      <w:r w:rsidR="009D13DE" w:rsidRPr="002771AD">
        <w:rPr>
          <w:rFonts w:ascii="Arial" w:hAnsi="Arial" w:cs="Arial"/>
          <w:b/>
        </w:rPr>
        <w:t xml:space="preserve">nicht </w:t>
      </w:r>
      <w:r w:rsidRPr="002771AD">
        <w:rPr>
          <w:rFonts w:ascii="Arial" w:hAnsi="Arial" w:cs="Arial"/>
          <w:b/>
        </w:rPr>
        <w:t>in vollem Umfang umgesetzt werden</w:t>
      </w:r>
      <w:r w:rsidRPr="002771AD">
        <w:rPr>
          <w:rFonts w:ascii="Arial" w:hAnsi="Arial" w:cs="Arial"/>
        </w:rPr>
        <w:t xml:space="preserve">. </w:t>
      </w:r>
    </w:p>
    <w:p w14:paraId="1D88AA24" w14:textId="77777777" w:rsidR="009D13DE" w:rsidRPr="002771AD" w:rsidRDefault="009D13DE" w:rsidP="002771AD">
      <w:pPr>
        <w:rPr>
          <w:rFonts w:ascii="Arial" w:hAnsi="Arial" w:cs="Arial"/>
        </w:rPr>
      </w:pPr>
    </w:p>
    <w:p w14:paraId="1EF3E952" w14:textId="73031113" w:rsidR="009D13DE" w:rsidRPr="002771AD" w:rsidRDefault="009D13DE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Erfreulich ist, dass der Haushaltsplan 2019 </w:t>
      </w:r>
      <w:r w:rsidRPr="002771AD">
        <w:rPr>
          <w:rFonts w:ascii="Arial" w:hAnsi="Arial" w:cs="Arial"/>
          <w:b/>
        </w:rPr>
        <w:t>weder Neuverschuldung noch  Steuererhöhungen</w:t>
      </w:r>
      <w:r w:rsidRPr="002771AD">
        <w:rPr>
          <w:rFonts w:ascii="Arial" w:hAnsi="Arial" w:cs="Arial"/>
        </w:rPr>
        <w:t xml:space="preserve"> bei weiterem </w:t>
      </w:r>
      <w:r w:rsidRPr="002771AD">
        <w:rPr>
          <w:rFonts w:ascii="Arial" w:hAnsi="Arial" w:cs="Arial"/>
          <w:b/>
        </w:rPr>
        <w:t>Schuldenabbau</w:t>
      </w:r>
      <w:r w:rsidRPr="002771AD">
        <w:rPr>
          <w:rFonts w:ascii="Arial" w:hAnsi="Arial" w:cs="Arial"/>
        </w:rPr>
        <w:t xml:space="preserve"> vorsieht.</w:t>
      </w:r>
    </w:p>
    <w:p w14:paraId="57B2EA01" w14:textId="77777777" w:rsidR="009D13DE" w:rsidRPr="002771AD" w:rsidRDefault="009D13DE" w:rsidP="002771AD">
      <w:pPr>
        <w:rPr>
          <w:rFonts w:ascii="Arial" w:hAnsi="Arial" w:cs="Arial"/>
        </w:rPr>
      </w:pPr>
    </w:p>
    <w:p w14:paraId="05C81BFB" w14:textId="60E8F617" w:rsidR="009D13DE" w:rsidRPr="002771AD" w:rsidRDefault="009D13DE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Eigen- / </w:t>
      </w:r>
      <w:r w:rsidRPr="002771AD">
        <w:rPr>
          <w:rFonts w:ascii="Arial" w:hAnsi="Arial" w:cs="Arial"/>
          <w:b/>
        </w:rPr>
        <w:t>Fremdenverkehrsbetrieb</w:t>
      </w:r>
      <w:r w:rsidRPr="002771AD">
        <w:rPr>
          <w:rFonts w:ascii="Arial" w:hAnsi="Arial" w:cs="Arial"/>
        </w:rPr>
        <w:t xml:space="preserve"> Langenargen</w:t>
      </w:r>
    </w:p>
    <w:p w14:paraId="68E62A12" w14:textId="4D391879" w:rsidR="009D13DE" w:rsidRPr="002771AD" w:rsidRDefault="009D13DE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Unter diesem Arbeitstitel sind die Betriebsbereiche „Veranstaltung, </w:t>
      </w:r>
      <w:r w:rsidR="00E44818" w:rsidRPr="002771AD">
        <w:rPr>
          <w:rFonts w:ascii="Arial" w:hAnsi="Arial" w:cs="Arial"/>
        </w:rPr>
        <w:t xml:space="preserve">Strandbad, Park + Ufer, Bootshafen, Tiefgarage, </w:t>
      </w:r>
      <w:proofErr w:type="spellStart"/>
      <w:r w:rsidR="00E44818" w:rsidRPr="002771AD">
        <w:rPr>
          <w:rFonts w:ascii="Arial" w:hAnsi="Arial" w:cs="Arial"/>
        </w:rPr>
        <w:t>Münzhof</w:t>
      </w:r>
      <w:proofErr w:type="spellEnd"/>
      <w:r w:rsidR="00E44818" w:rsidRPr="002771AD">
        <w:rPr>
          <w:rFonts w:ascii="Arial" w:hAnsi="Arial" w:cs="Arial"/>
        </w:rPr>
        <w:t xml:space="preserve"> und </w:t>
      </w:r>
      <w:proofErr w:type="spellStart"/>
      <w:r w:rsidR="00E44818" w:rsidRPr="002771AD">
        <w:rPr>
          <w:rFonts w:ascii="Arial" w:hAnsi="Arial" w:cs="Arial"/>
        </w:rPr>
        <w:t>Touristinformation</w:t>
      </w:r>
      <w:proofErr w:type="spellEnd"/>
      <w:r w:rsidR="00E44818" w:rsidRPr="002771AD">
        <w:rPr>
          <w:rFonts w:ascii="Arial" w:hAnsi="Arial" w:cs="Arial"/>
        </w:rPr>
        <w:t>“ zusammengefasst.</w:t>
      </w:r>
    </w:p>
    <w:p w14:paraId="723FEEFB" w14:textId="287300A7" w:rsidR="00712F18" w:rsidRPr="002771AD" w:rsidRDefault="00457838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In der September 2018-Gemeinderatssitzung wurde bekannt gegeben, dass der Verlust für 2017 auf knapp 1 Million angestiegen sei, was im allgemeinen Freudentaumel wegen guter Steuereinnahmen kaum Beachtung fand.</w:t>
      </w:r>
    </w:p>
    <w:p w14:paraId="16267144" w14:textId="3D9F3647" w:rsidR="00457838" w:rsidRPr="002771AD" w:rsidRDefault="00457838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Plan-Ergebnis für 2017 gemäß Haushaltsplan 2017</w:t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proofErr w:type="gramStart"/>
      <w:r w:rsidRPr="002771AD">
        <w:rPr>
          <w:rFonts w:ascii="Arial" w:hAnsi="Arial" w:cs="Arial"/>
        </w:rPr>
        <w:t>-  794.000</w:t>
      </w:r>
      <w:proofErr w:type="gramEnd"/>
      <w:r w:rsidRPr="002771AD">
        <w:rPr>
          <w:rFonts w:ascii="Arial" w:hAnsi="Arial" w:cs="Arial"/>
        </w:rPr>
        <w:t xml:space="preserve"> Euro</w:t>
      </w:r>
    </w:p>
    <w:p w14:paraId="7A26CD4F" w14:textId="20581ADC" w:rsidR="00457838" w:rsidRPr="002771AD" w:rsidRDefault="00457838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Ist-Ergebnis ausgewiesen im </w:t>
      </w:r>
      <w:r w:rsidR="005D36F5" w:rsidRPr="002771AD">
        <w:rPr>
          <w:rFonts w:ascii="Arial" w:hAnsi="Arial" w:cs="Arial"/>
        </w:rPr>
        <w:t xml:space="preserve">   </w:t>
      </w:r>
      <w:r w:rsidRPr="002771AD">
        <w:rPr>
          <w:rFonts w:ascii="Arial" w:hAnsi="Arial" w:cs="Arial"/>
        </w:rPr>
        <w:t xml:space="preserve">Haushaltsplan 2019 </w:t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proofErr w:type="gramStart"/>
      <w:r w:rsidRPr="002771AD">
        <w:rPr>
          <w:rFonts w:ascii="Arial" w:hAnsi="Arial" w:cs="Arial"/>
        </w:rPr>
        <w:t>-  989.000</w:t>
      </w:r>
      <w:proofErr w:type="gramEnd"/>
      <w:r w:rsidRPr="002771AD">
        <w:rPr>
          <w:rFonts w:ascii="Arial" w:hAnsi="Arial" w:cs="Arial"/>
        </w:rPr>
        <w:t xml:space="preserve"> Euro</w:t>
      </w:r>
    </w:p>
    <w:p w14:paraId="2C8C073A" w14:textId="7C3F3992" w:rsidR="00457838" w:rsidRPr="002771AD" w:rsidRDefault="00457838" w:rsidP="002771AD">
      <w:pPr>
        <w:rPr>
          <w:rFonts w:ascii="Arial" w:hAnsi="Arial" w:cs="Arial"/>
          <w:b/>
        </w:rPr>
      </w:pPr>
      <w:r w:rsidRPr="002771AD">
        <w:rPr>
          <w:rFonts w:ascii="Arial" w:hAnsi="Arial" w:cs="Arial"/>
          <w:b/>
        </w:rPr>
        <w:t>Verlustanstieg</w:t>
      </w:r>
      <w:r w:rsidR="00730F0D" w:rsidRPr="002771AD">
        <w:rPr>
          <w:rFonts w:ascii="Arial" w:hAnsi="Arial" w:cs="Arial"/>
          <w:b/>
        </w:rPr>
        <w:t xml:space="preserve"> 2017</w:t>
      </w:r>
      <w:r w:rsidRPr="002771AD">
        <w:rPr>
          <w:rFonts w:ascii="Arial" w:hAnsi="Arial" w:cs="Arial"/>
          <w:b/>
        </w:rPr>
        <w:tab/>
      </w:r>
      <w:r w:rsidRPr="002771AD">
        <w:rPr>
          <w:rFonts w:ascii="Arial" w:hAnsi="Arial" w:cs="Arial"/>
          <w:b/>
        </w:rPr>
        <w:tab/>
      </w:r>
      <w:r w:rsidRPr="002771AD">
        <w:rPr>
          <w:rFonts w:ascii="Arial" w:hAnsi="Arial" w:cs="Arial"/>
          <w:b/>
        </w:rPr>
        <w:tab/>
      </w:r>
      <w:r w:rsidRPr="002771AD">
        <w:rPr>
          <w:rFonts w:ascii="Arial" w:hAnsi="Arial" w:cs="Arial"/>
          <w:b/>
        </w:rPr>
        <w:tab/>
      </w:r>
      <w:r w:rsidRPr="002771AD">
        <w:rPr>
          <w:rFonts w:ascii="Arial" w:hAnsi="Arial" w:cs="Arial"/>
          <w:b/>
        </w:rPr>
        <w:tab/>
      </w:r>
      <w:r w:rsidRPr="002771AD">
        <w:rPr>
          <w:rFonts w:ascii="Arial" w:hAnsi="Arial" w:cs="Arial"/>
          <w:b/>
        </w:rPr>
        <w:tab/>
        <w:t xml:space="preserve">   195.000 Euro</w:t>
      </w:r>
    </w:p>
    <w:p w14:paraId="384DC0CF" w14:textId="058DA72A" w:rsidR="00457838" w:rsidRPr="002771AD" w:rsidRDefault="00457838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Entsprechend</w:t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</w:r>
      <w:r w:rsidRPr="002771AD">
        <w:rPr>
          <w:rFonts w:ascii="Arial" w:hAnsi="Arial" w:cs="Arial"/>
        </w:rPr>
        <w:tab/>
        <w:t xml:space="preserve">     +24,6 %</w:t>
      </w:r>
    </w:p>
    <w:p w14:paraId="2652A264" w14:textId="7F58C8C8" w:rsidR="00457838" w:rsidRPr="002771AD" w:rsidRDefault="00457838" w:rsidP="002771AD">
      <w:pPr>
        <w:rPr>
          <w:rFonts w:ascii="Arial" w:hAnsi="Arial" w:cs="Arial"/>
        </w:rPr>
      </w:pPr>
    </w:p>
    <w:p w14:paraId="0C1BAD86" w14:textId="2B8D9CA5" w:rsidR="00921493" w:rsidRPr="002771AD" w:rsidRDefault="00921493" w:rsidP="002771AD">
      <w:pPr>
        <w:rPr>
          <w:rFonts w:ascii="Arial" w:hAnsi="Arial" w:cs="Arial"/>
          <w:b/>
        </w:rPr>
      </w:pPr>
      <w:r w:rsidRPr="002771AD">
        <w:rPr>
          <w:rFonts w:ascii="Arial" w:hAnsi="Arial" w:cs="Arial"/>
          <w:b/>
        </w:rPr>
        <w:t>Erträge aus Kurtaxe</w:t>
      </w:r>
    </w:p>
    <w:p w14:paraId="6D209075" w14:textId="561A8C70" w:rsidR="001A606E" w:rsidRDefault="00921493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In 2017 gab es einen signifikanten </w:t>
      </w:r>
      <w:r w:rsidRPr="002771AD">
        <w:rPr>
          <w:rFonts w:ascii="Arial" w:hAnsi="Arial" w:cs="Arial"/>
          <w:b/>
        </w:rPr>
        <w:t>Anstieg der Kurtaxe um rd. 229.000 Euro</w:t>
      </w:r>
      <w:r w:rsidRPr="002771AD">
        <w:rPr>
          <w:rFonts w:ascii="Arial" w:hAnsi="Arial" w:cs="Arial"/>
        </w:rPr>
        <w:t xml:space="preserve"> </w:t>
      </w:r>
      <w:proofErr w:type="spellStart"/>
      <w:r w:rsidRPr="002771AD">
        <w:rPr>
          <w:rFonts w:ascii="Arial" w:hAnsi="Arial" w:cs="Arial"/>
        </w:rPr>
        <w:t>ggü</w:t>
      </w:r>
      <w:proofErr w:type="spellEnd"/>
      <w:r w:rsidRPr="002771AD">
        <w:rPr>
          <w:rFonts w:ascii="Arial" w:hAnsi="Arial" w:cs="Arial"/>
        </w:rPr>
        <w:t xml:space="preserve">. 2016. </w:t>
      </w:r>
      <w:r w:rsidR="00A3579B" w:rsidRPr="002771AD">
        <w:rPr>
          <w:rFonts w:ascii="Arial" w:hAnsi="Arial" w:cs="Arial"/>
        </w:rPr>
        <w:t xml:space="preserve">Plangemäß sollten die erwarteten Erträge aus der </w:t>
      </w:r>
      <w:proofErr w:type="spellStart"/>
      <w:r w:rsidR="00A3579B" w:rsidRPr="002771AD">
        <w:rPr>
          <w:rFonts w:ascii="Arial" w:hAnsi="Arial" w:cs="Arial"/>
        </w:rPr>
        <w:t>Kurtaxeerhöhung</w:t>
      </w:r>
      <w:proofErr w:type="spellEnd"/>
      <w:r w:rsidR="00A3579B" w:rsidRPr="002771AD">
        <w:rPr>
          <w:rFonts w:ascii="Arial" w:hAnsi="Arial" w:cs="Arial"/>
        </w:rPr>
        <w:t xml:space="preserve"> dem Bereich </w:t>
      </w:r>
      <w:proofErr w:type="spellStart"/>
      <w:r w:rsidR="00A3579B" w:rsidRPr="002771AD">
        <w:rPr>
          <w:rFonts w:ascii="Arial" w:hAnsi="Arial" w:cs="Arial"/>
        </w:rPr>
        <w:t>Touristinfo</w:t>
      </w:r>
      <w:proofErr w:type="spellEnd"/>
      <w:r w:rsidR="00A3579B" w:rsidRPr="002771AD">
        <w:rPr>
          <w:rFonts w:ascii="Arial" w:hAnsi="Arial" w:cs="Arial"/>
        </w:rPr>
        <w:t xml:space="preserve"> zufließen und für die übrigen Bereiche sollte das Niveau der Vorjahre fortgeschrieben werden. Diese Absicht konnte nicht aufrechterhalten werden. In 2017 wurde der Ertrag aus Kurtaxe für den Bereich </w:t>
      </w:r>
      <w:proofErr w:type="spellStart"/>
      <w:r w:rsidR="00A3579B" w:rsidRPr="002771AD">
        <w:rPr>
          <w:rFonts w:ascii="Arial" w:hAnsi="Arial" w:cs="Arial"/>
        </w:rPr>
        <w:t>Touristinfo</w:t>
      </w:r>
      <w:proofErr w:type="spellEnd"/>
      <w:r w:rsidR="00A3579B" w:rsidRPr="002771AD">
        <w:rPr>
          <w:rFonts w:ascii="Arial" w:hAnsi="Arial" w:cs="Arial"/>
        </w:rPr>
        <w:t xml:space="preserve"> auf das Niveau der Vorjahre zurückgenommen und die zusätzlich generierten Erträge aus Kurtaxe auf die anderen Bereiche verteilt. Dementsprechend wurde das Jahr 2019 geplant.</w:t>
      </w:r>
    </w:p>
    <w:p w14:paraId="538A8BB7" w14:textId="77777777" w:rsidR="002771AD" w:rsidRPr="002771AD" w:rsidRDefault="002771AD" w:rsidP="002771AD">
      <w:pPr>
        <w:rPr>
          <w:rFonts w:ascii="Arial" w:hAnsi="Arial" w:cs="Arial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1276"/>
        <w:gridCol w:w="1276"/>
        <w:gridCol w:w="1276"/>
        <w:gridCol w:w="1276"/>
        <w:gridCol w:w="1275"/>
      </w:tblGrid>
      <w:tr w:rsidR="00525A90" w:rsidRPr="002771AD" w14:paraId="17681ACF" w14:textId="77777777" w:rsidTr="00921493">
        <w:trPr>
          <w:trHeight w:val="32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7ABDB" w14:textId="77777777" w:rsidR="00525A90" w:rsidRPr="002771AD" w:rsidRDefault="00525A90" w:rsidP="002771A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8A2E9" w14:textId="77777777" w:rsidR="00525A90" w:rsidRPr="002771AD" w:rsidRDefault="00525A90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2019 Plan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EA0E2" w14:textId="77777777" w:rsidR="00525A90" w:rsidRPr="002771AD" w:rsidRDefault="00525A90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2018 Plan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EC894" w14:textId="77777777" w:rsidR="00525A90" w:rsidRPr="002771AD" w:rsidRDefault="00525A90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2017 Ist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1C4BD" w14:textId="77777777" w:rsidR="00525A90" w:rsidRPr="002771AD" w:rsidRDefault="00525A90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2017  Plan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53A83" w14:textId="77777777" w:rsidR="00525A90" w:rsidRPr="002771AD" w:rsidRDefault="00525A90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2016 Ist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281BD" w14:textId="77777777" w:rsidR="00525A90" w:rsidRPr="002771AD" w:rsidRDefault="00525A90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2015 Ist</w:t>
            </w:r>
          </w:p>
        </w:tc>
      </w:tr>
      <w:tr w:rsidR="00525A90" w:rsidRPr="002771AD" w14:paraId="3B4291AC" w14:textId="77777777" w:rsidTr="00921493">
        <w:trPr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D9474D" w14:textId="77777777" w:rsidR="00525A90" w:rsidRPr="002771AD" w:rsidRDefault="00525A90" w:rsidP="002771A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Gesamt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910F1F" w14:textId="37BC4CB3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637.600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FDC9F0" w14:textId="5621C92F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646.000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38E671" w14:textId="6E3EC6E7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622.543,00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ED1FE5" w14:textId="2A837E77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651.000,00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ED596D" w14:textId="763A35D6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393.906,17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8C9525" w14:textId="32303B1E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5A90" w:rsidRPr="002771AD" w14:paraId="35AAB92E" w14:textId="77777777" w:rsidTr="00921493">
        <w:trPr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362D" w14:textId="77777777" w:rsidR="00525A90" w:rsidRPr="002771AD" w:rsidRDefault="00525A90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Veranstaltung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02CA" w14:textId="7448121B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72.600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B9D3" w14:textId="64B0A7D2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C791" w14:textId="2677518F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72.634,37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DF84" w14:textId="460C21E9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9CA0" w14:textId="239FF8CD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44.088,59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7F83" w14:textId="0967D1FA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43.132,43</w:t>
            </w:r>
          </w:p>
        </w:tc>
      </w:tr>
      <w:tr w:rsidR="00525A90" w:rsidRPr="002771AD" w14:paraId="149C333F" w14:textId="77777777" w:rsidTr="00921493">
        <w:trPr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E576" w14:textId="77777777" w:rsidR="00525A90" w:rsidRPr="002771AD" w:rsidRDefault="00525A90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Strandbad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D236" w14:textId="630A8B0D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1C4A" w14:textId="63FE15FB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FEFA" w14:textId="40148CEF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135.215,34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8A39" w14:textId="2476FA77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7889" w14:textId="0050EB0B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82.082,67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F2B6" w14:textId="6373018B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80.294,84</w:t>
            </w:r>
          </w:p>
        </w:tc>
      </w:tr>
      <w:tr w:rsidR="00525A90" w:rsidRPr="002771AD" w14:paraId="33D2B3F5" w14:textId="77777777" w:rsidTr="00921493">
        <w:trPr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A691" w14:textId="77777777" w:rsidR="00525A90" w:rsidRPr="002771AD" w:rsidRDefault="00525A90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 + Ufer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E8BC" w14:textId="321BB4F3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48E4" w14:textId="62D322A8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2F71" w14:textId="74DE845E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348.240,46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C902" w14:textId="7E2E3E26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2C17" w14:textId="2CCBF3C2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211.399,89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4A71" w14:textId="3A49C59D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206.795,43</w:t>
            </w:r>
          </w:p>
        </w:tc>
      </w:tr>
      <w:tr w:rsidR="00525A90" w:rsidRPr="002771AD" w14:paraId="5257B3A6" w14:textId="77777777" w:rsidTr="00921493">
        <w:trPr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8EDA" w14:textId="77777777" w:rsidR="00525A90" w:rsidRPr="002771AD" w:rsidRDefault="00525A90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Bootshafen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1AA9" w14:textId="77777777" w:rsidR="00525A90" w:rsidRPr="002771AD" w:rsidRDefault="00525A90" w:rsidP="002771AD">
            <w:pPr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9A97" w14:textId="77777777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5A7E" w14:textId="77777777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39C3" w14:textId="77777777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CB35" w14:textId="77777777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60D0" w14:textId="77777777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25A90" w:rsidRPr="002771AD" w14:paraId="6D0DF863" w14:textId="77777777" w:rsidTr="00921493">
        <w:trPr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C7F7" w14:textId="77777777" w:rsidR="00525A90" w:rsidRPr="002771AD" w:rsidRDefault="00525A90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Tiefgarage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0E59" w14:textId="77777777" w:rsidR="00525A90" w:rsidRPr="002771AD" w:rsidRDefault="00525A90" w:rsidP="002771AD">
            <w:pPr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27F9" w14:textId="77777777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6BC7" w14:textId="77777777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6F8E" w14:textId="77777777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989E" w14:textId="77777777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ACF5" w14:textId="77777777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25A90" w:rsidRPr="002771AD" w14:paraId="5A5F9D65" w14:textId="77777777" w:rsidTr="00921493">
        <w:trPr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CF72" w14:textId="77777777" w:rsidR="00525A90" w:rsidRPr="002771AD" w:rsidRDefault="00525A90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Münzhof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2E65" w14:textId="0FF6F319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9456" w14:textId="08E60E07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7132" w14:textId="43718DBC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38.785,92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6FB9" w14:textId="0BD8F67E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B6B1" w14:textId="2DEC0A29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23.545,06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7DC3" w14:textId="084B7710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23.032,22</w:t>
            </w:r>
          </w:p>
        </w:tc>
      </w:tr>
      <w:tr w:rsidR="00525A90" w:rsidRPr="002771AD" w14:paraId="393C4DE1" w14:textId="77777777" w:rsidTr="00921493">
        <w:trPr>
          <w:trHeight w:val="34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619B0" w14:textId="6928B789" w:rsidR="00525A90" w:rsidRPr="002771AD" w:rsidRDefault="00525A90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Touristinfo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4414A" w14:textId="2F6877F0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6600"/>
            <w:noWrap/>
            <w:vAlign w:val="bottom"/>
            <w:hideMark/>
          </w:tcPr>
          <w:p w14:paraId="1739913F" w14:textId="597A1F33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284.000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685DDCE" w14:textId="0B1C55C0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27.666,49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6600"/>
            <w:noWrap/>
            <w:vAlign w:val="bottom"/>
            <w:hideMark/>
          </w:tcPr>
          <w:p w14:paraId="289AD8FE" w14:textId="2F757C3F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341BE" w14:textId="408A22F9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32.789,96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DFC13" w14:textId="73DCEC20" w:rsidR="00525A90" w:rsidRPr="002771AD" w:rsidRDefault="00525A90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29.369,04</w:t>
            </w:r>
          </w:p>
        </w:tc>
      </w:tr>
    </w:tbl>
    <w:p w14:paraId="79067FF8" w14:textId="77777777" w:rsidR="00712F18" w:rsidRPr="002771AD" w:rsidRDefault="00712F18" w:rsidP="002771AD">
      <w:pPr>
        <w:rPr>
          <w:rFonts w:ascii="Arial" w:hAnsi="Arial" w:cs="Arial"/>
        </w:rPr>
      </w:pPr>
    </w:p>
    <w:p w14:paraId="4B2CAFA4" w14:textId="77777777" w:rsidR="00457838" w:rsidRPr="002771AD" w:rsidRDefault="00457838" w:rsidP="002771AD">
      <w:pPr>
        <w:rPr>
          <w:rFonts w:ascii="Arial" w:hAnsi="Arial" w:cs="Arial"/>
        </w:rPr>
      </w:pPr>
    </w:p>
    <w:p w14:paraId="4E4F2486" w14:textId="31915ED6" w:rsidR="00E44818" w:rsidRPr="002771AD" w:rsidRDefault="007E28A0" w:rsidP="002771AD">
      <w:pPr>
        <w:rPr>
          <w:rFonts w:ascii="Arial" w:hAnsi="Arial" w:cs="Arial"/>
          <w:b/>
        </w:rPr>
      </w:pPr>
      <w:r w:rsidRPr="002771AD">
        <w:rPr>
          <w:rFonts w:ascii="Arial" w:hAnsi="Arial" w:cs="Arial"/>
          <w:b/>
        </w:rPr>
        <w:t>Aufwendungen</w:t>
      </w:r>
    </w:p>
    <w:p w14:paraId="30F00A8A" w14:textId="5468A57B" w:rsidR="007E28A0" w:rsidRPr="002771AD" w:rsidRDefault="00A232D0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Erstmals für 2017 und auch für 2018</w:t>
      </w:r>
      <w:r w:rsidR="00EF6549" w:rsidRPr="002771AD">
        <w:rPr>
          <w:rFonts w:ascii="Arial" w:hAnsi="Arial" w:cs="Arial"/>
        </w:rPr>
        <w:t xml:space="preserve"> / 19</w:t>
      </w:r>
      <w:r w:rsidRPr="002771AD">
        <w:rPr>
          <w:rFonts w:ascii="Arial" w:hAnsi="Arial" w:cs="Arial"/>
        </w:rPr>
        <w:t xml:space="preserve"> weist der Betriebsbereich </w:t>
      </w:r>
      <w:proofErr w:type="spellStart"/>
      <w:r w:rsidRPr="002771AD">
        <w:rPr>
          <w:rFonts w:ascii="Arial" w:hAnsi="Arial" w:cs="Arial"/>
        </w:rPr>
        <w:t>Touristinformation</w:t>
      </w:r>
      <w:proofErr w:type="spellEnd"/>
      <w:r w:rsidRPr="002771AD">
        <w:rPr>
          <w:rFonts w:ascii="Arial" w:hAnsi="Arial" w:cs="Arial"/>
        </w:rPr>
        <w:t xml:space="preserve"> eine Leistungsvergütung (DBT/EBC?) jeweils in Höhe von 237.000 Euro aus. Dementsprechend sind die Aufwendungen für die </w:t>
      </w:r>
      <w:proofErr w:type="spellStart"/>
      <w:r w:rsidRPr="002771AD">
        <w:rPr>
          <w:rFonts w:ascii="Arial" w:hAnsi="Arial" w:cs="Arial"/>
        </w:rPr>
        <w:t>Touristinformation</w:t>
      </w:r>
      <w:proofErr w:type="spellEnd"/>
      <w:r w:rsidRPr="002771AD">
        <w:rPr>
          <w:rFonts w:ascii="Arial" w:hAnsi="Arial" w:cs="Arial"/>
        </w:rPr>
        <w:t xml:space="preserve"> in 2017 auf über 850.000 Euro angestiegen und werden für die Folgejahre auf diesem Niveau fortgeschrieben.</w:t>
      </w:r>
      <w:r w:rsidR="003526BB" w:rsidRPr="002771AD">
        <w:rPr>
          <w:rFonts w:ascii="Arial" w:hAnsi="Arial" w:cs="Arial"/>
        </w:rPr>
        <w:t xml:space="preserve"> </w:t>
      </w:r>
    </w:p>
    <w:p w14:paraId="5BE856B3" w14:textId="61A061FA" w:rsidR="003526BB" w:rsidRPr="002771AD" w:rsidRDefault="006B0870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lastRenderedPageBreak/>
        <w:t>Wenn es so zu sehen ist, dass die Deutsche Bodensee Tourismus GmbH wesentliche Teile der Vermarktung und Formulierung der Werbebotschaft übernommen hat, dann müsste</w:t>
      </w:r>
      <w:r w:rsidR="00553759" w:rsidRPr="002771AD">
        <w:rPr>
          <w:rFonts w:ascii="Arial" w:hAnsi="Arial" w:cs="Arial"/>
        </w:rPr>
        <w:t>n</w:t>
      </w:r>
      <w:r w:rsidRPr="002771AD">
        <w:rPr>
          <w:rFonts w:ascii="Arial" w:hAnsi="Arial" w:cs="Arial"/>
        </w:rPr>
        <w:t xml:space="preserve"> – auch infolge von </w:t>
      </w:r>
      <w:r w:rsidRPr="002771AD">
        <w:rPr>
          <w:rFonts w:ascii="Arial" w:hAnsi="Arial" w:cs="Arial"/>
          <w:b/>
        </w:rPr>
        <w:t>Synergieeffekten</w:t>
      </w:r>
      <w:r w:rsidRPr="002771AD">
        <w:rPr>
          <w:rFonts w:ascii="Arial" w:hAnsi="Arial" w:cs="Arial"/>
        </w:rPr>
        <w:t xml:space="preserve"> – die Aufwendungen innerhalb des Betriebsbereiches </w:t>
      </w:r>
      <w:proofErr w:type="spellStart"/>
      <w:r w:rsidRPr="002771AD">
        <w:rPr>
          <w:rFonts w:ascii="Arial" w:hAnsi="Arial" w:cs="Arial"/>
        </w:rPr>
        <w:t>Touristinformation</w:t>
      </w:r>
      <w:proofErr w:type="spellEnd"/>
      <w:r w:rsidRPr="002771AD">
        <w:rPr>
          <w:rFonts w:ascii="Arial" w:hAnsi="Arial" w:cs="Arial"/>
        </w:rPr>
        <w:t xml:space="preserve"> signifikant reduziert </w:t>
      </w:r>
      <w:r w:rsidR="00C905EF" w:rsidRPr="002771AD">
        <w:rPr>
          <w:rFonts w:ascii="Arial" w:hAnsi="Arial" w:cs="Arial"/>
        </w:rPr>
        <w:t xml:space="preserve">und </w:t>
      </w:r>
      <w:r w:rsidR="00320AF1" w:rsidRPr="002771AD">
        <w:rPr>
          <w:rFonts w:ascii="Arial" w:hAnsi="Arial" w:cs="Arial"/>
        </w:rPr>
        <w:t>Einsparungen generiert</w:t>
      </w:r>
      <w:r w:rsidR="00C905EF" w:rsidRPr="002771AD">
        <w:rPr>
          <w:rFonts w:ascii="Arial" w:hAnsi="Arial" w:cs="Arial"/>
        </w:rPr>
        <w:t xml:space="preserve"> </w:t>
      </w:r>
      <w:r w:rsidRPr="002771AD">
        <w:rPr>
          <w:rFonts w:ascii="Arial" w:hAnsi="Arial" w:cs="Arial"/>
        </w:rPr>
        <w:t>werden können.</w:t>
      </w:r>
    </w:p>
    <w:p w14:paraId="45EEFBAE" w14:textId="22994340" w:rsidR="00A232D0" w:rsidRPr="002771AD" w:rsidRDefault="00EF6549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Für die übrigen Betriebsbereiche schwanken die Aufwendungen innerhalb </w:t>
      </w:r>
      <w:r w:rsidR="00C905EF" w:rsidRPr="002771AD">
        <w:rPr>
          <w:rFonts w:ascii="Arial" w:hAnsi="Arial" w:cs="Arial"/>
        </w:rPr>
        <w:t>eines vorstellbaren</w:t>
      </w:r>
      <w:r w:rsidRPr="002771AD">
        <w:rPr>
          <w:rFonts w:ascii="Arial" w:hAnsi="Arial" w:cs="Arial"/>
        </w:rPr>
        <w:t xml:space="preserve"> Toleranzb</w:t>
      </w:r>
      <w:r w:rsidR="003526BB" w:rsidRPr="002771AD">
        <w:rPr>
          <w:rFonts w:ascii="Arial" w:hAnsi="Arial" w:cs="Arial"/>
        </w:rPr>
        <w:t>and</w:t>
      </w:r>
      <w:r w:rsidR="00C905EF" w:rsidRPr="002771AD">
        <w:rPr>
          <w:rFonts w:ascii="Arial" w:hAnsi="Arial" w:cs="Arial"/>
        </w:rPr>
        <w:t>e</w:t>
      </w:r>
      <w:r w:rsidR="003526BB" w:rsidRPr="002771AD">
        <w:rPr>
          <w:rFonts w:ascii="Arial" w:hAnsi="Arial" w:cs="Arial"/>
        </w:rPr>
        <w:t>s</w:t>
      </w:r>
      <w:r w:rsidRPr="002771AD">
        <w:rPr>
          <w:rFonts w:ascii="Arial" w:hAnsi="Arial" w:cs="Arial"/>
        </w:rPr>
        <w:t>.</w:t>
      </w:r>
    </w:p>
    <w:p w14:paraId="4B4EB867" w14:textId="55CCFB93" w:rsidR="00C905EF" w:rsidRDefault="00C905EF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Nebenbei: </w:t>
      </w:r>
      <w:r w:rsidR="00F0256F" w:rsidRPr="002771AD">
        <w:rPr>
          <w:rFonts w:ascii="Arial" w:hAnsi="Arial" w:cs="Arial"/>
        </w:rPr>
        <w:t xml:space="preserve">Für 2019 sind die Personalaufwendungen des Bereiches Strandbad bis auf eine Restgröße abgeschmolzen; anstelle dessen wird eine Leistungsvergütung in vergleichbarer Größenordnung eingeplant. Dies bestätigt, was die Spatzen vom Dach pfeifen: Das </w:t>
      </w:r>
      <w:r w:rsidR="00F0256F" w:rsidRPr="002771AD">
        <w:rPr>
          <w:rFonts w:ascii="Arial" w:hAnsi="Arial" w:cs="Arial"/>
          <w:b/>
        </w:rPr>
        <w:t>Strandbad</w:t>
      </w:r>
      <w:r w:rsidR="00F0256F" w:rsidRPr="002771AD">
        <w:rPr>
          <w:rFonts w:ascii="Arial" w:hAnsi="Arial" w:cs="Arial"/>
        </w:rPr>
        <w:t xml:space="preserve"> soll durch eine Fremd-/</w:t>
      </w:r>
      <w:r w:rsidR="00F0256F" w:rsidRPr="002771AD">
        <w:rPr>
          <w:rFonts w:ascii="Arial" w:hAnsi="Arial" w:cs="Arial"/>
          <w:b/>
        </w:rPr>
        <w:t>Betreiberfirma</w:t>
      </w:r>
      <w:r w:rsidR="00F0256F" w:rsidRPr="002771AD">
        <w:rPr>
          <w:rFonts w:ascii="Arial" w:hAnsi="Arial" w:cs="Arial"/>
        </w:rPr>
        <w:t xml:space="preserve"> übernommen werden. </w:t>
      </w:r>
    </w:p>
    <w:p w14:paraId="33DC2C91" w14:textId="77777777" w:rsidR="00EB2FC1" w:rsidRPr="002771AD" w:rsidRDefault="00EB2FC1" w:rsidP="002771AD">
      <w:pPr>
        <w:rPr>
          <w:rFonts w:ascii="Arial" w:hAnsi="Arial" w:cs="Arial"/>
        </w:rPr>
      </w:pPr>
    </w:p>
    <w:tbl>
      <w:tblPr>
        <w:tblW w:w="101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559"/>
        <w:gridCol w:w="1209"/>
        <w:gridCol w:w="1560"/>
        <w:gridCol w:w="1559"/>
      </w:tblGrid>
      <w:tr w:rsidR="004C51CF" w:rsidRPr="002771AD" w14:paraId="36BF7260" w14:textId="77777777" w:rsidTr="003526BB">
        <w:trPr>
          <w:trHeight w:val="32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4F77D" w14:textId="77777777" w:rsidR="008A0FDA" w:rsidRPr="002771AD" w:rsidRDefault="008A0FDA" w:rsidP="002771A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72B63" w14:textId="77777777" w:rsidR="008A0FDA" w:rsidRPr="002771AD" w:rsidRDefault="008A0FDA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2019 Plan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8388D" w14:textId="77777777" w:rsidR="008A0FDA" w:rsidRPr="002771AD" w:rsidRDefault="008A0FDA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2018 Plan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E4CEB" w14:textId="77777777" w:rsidR="008A0FDA" w:rsidRPr="002771AD" w:rsidRDefault="008A0FDA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2017 Ist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9A916" w14:textId="77777777" w:rsidR="008A0FDA" w:rsidRPr="002771AD" w:rsidRDefault="008A0FDA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2017  Plan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8A967" w14:textId="77777777" w:rsidR="008A0FDA" w:rsidRPr="002771AD" w:rsidRDefault="008A0FDA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2016 Ist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7AA5D" w14:textId="77777777" w:rsidR="008A0FDA" w:rsidRPr="002771AD" w:rsidRDefault="008A0FDA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2015 Ist</w:t>
            </w:r>
          </w:p>
        </w:tc>
      </w:tr>
      <w:tr w:rsidR="004C51CF" w:rsidRPr="002771AD" w14:paraId="40EF5BF1" w14:textId="77777777" w:rsidTr="003526BB">
        <w:trPr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939661" w14:textId="77777777" w:rsidR="008A0FDA" w:rsidRPr="002771AD" w:rsidRDefault="008A0FDA" w:rsidP="002771A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Gesamt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E858" w14:textId="2362E1A6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2.252.700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6164" w14:textId="353D24FE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2.146.800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28F8" w14:textId="53A5C0F6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2.136.861,00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A4A8" w14:textId="2BFDBDBA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2.028.300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B6E5" w14:textId="61C1FA1F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1.761.529,15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3E65" w14:textId="77777777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4C51CF" w:rsidRPr="002771AD" w14:paraId="32EEFE29" w14:textId="77777777" w:rsidTr="003526BB">
        <w:trPr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0FAE" w14:textId="77777777" w:rsidR="008A0FDA" w:rsidRPr="002771AD" w:rsidRDefault="008A0FDA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Veranstaltung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6BF6" w14:textId="0A9A50C7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AFD6" w14:textId="3B8A819B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141.800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54B3" w14:textId="1338E3EF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130.898,75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1417" w14:textId="26D60503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147.100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B7FC" w14:textId="2178771C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115.873,71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06B4" w14:textId="67323062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96.432,12</w:t>
            </w:r>
          </w:p>
        </w:tc>
      </w:tr>
      <w:tr w:rsidR="004C51CF" w:rsidRPr="002771AD" w14:paraId="4B0684D2" w14:textId="77777777" w:rsidTr="003526BB">
        <w:trPr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2B69" w14:textId="77777777" w:rsidR="008A0FDA" w:rsidRPr="002771AD" w:rsidRDefault="008A0FDA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Strandbad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1DAF" w14:textId="780414EE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468.300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8170" w14:textId="60AB6E9F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469.100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8EBD" w14:textId="74BFDC6A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425.302,97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B576" w14:textId="2DE3C040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459.100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50AD" w14:textId="2E9E49EF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432.573,86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CA66" w14:textId="7023A083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397.205,82</w:t>
            </w:r>
          </w:p>
        </w:tc>
      </w:tr>
      <w:tr w:rsidR="004C51CF" w:rsidRPr="002771AD" w14:paraId="753D76DB" w14:textId="77777777" w:rsidTr="003526BB">
        <w:trPr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36FE" w14:textId="77777777" w:rsidR="008A0FDA" w:rsidRPr="002771AD" w:rsidRDefault="008A0FDA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 + Ufer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8BC9" w14:textId="1DF24FD6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429.300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6BDF" w14:textId="784C4C76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398.100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194A" w14:textId="7D7DD6F1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427.895,17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E61A" w14:textId="5C378E2C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367.500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5274" w14:textId="313A9E0B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353.594,11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1DBB" w14:textId="0366C424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322.809,20</w:t>
            </w:r>
          </w:p>
        </w:tc>
      </w:tr>
      <w:tr w:rsidR="004C51CF" w:rsidRPr="002771AD" w14:paraId="3B48FB40" w14:textId="77777777" w:rsidTr="003526BB">
        <w:trPr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AD4A" w14:textId="77777777" w:rsidR="008A0FDA" w:rsidRPr="002771AD" w:rsidRDefault="008A0FDA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Bootshafen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C1EE" w14:textId="619EA676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103.500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9D55" w14:textId="20C6AA50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92.200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7F7F" w14:textId="5B9FBF54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90.933,56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1F21" w14:textId="1D0EB430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75.300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EF5C" w14:textId="5C9FCB74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82.515,94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6301" w14:textId="6547252A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105.000,01</w:t>
            </w:r>
          </w:p>
        </w:tc>
      </w:tr>
      <w:tr w:rsidR="004C51CF" w:rsidRPr="002771AD" w14:paraId="7735AF7C" w14:textId="77777777" w:rsidTr="003526BB">
        <w:trPr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9093" w14:textId="77777777" w:rsidR="008A0FDA" w:rsidRPr="002771AD" w:rsidRDefault="008A0FDA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Tiefgarage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5ECB" w14:textId="1CE896F5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9AA3" w14:textId="263E7BF1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63.500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5A06" w14:textId="2B8FF178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89.309,13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66DB" w14:textId="4FD799E5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66.000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AEC3" w14:textId="7E110D1C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65.593,07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2218" w14:textId="6FD8216E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56.952,44</w:t>
            </w:r>
          </w:p>
        </w:tc>
      </w:tr>
      <w:tr w:rsidR="004C51CF" w:rsidRPr="002771AD" w14:paraId="059E62DC" w14:textId="77777777" w:rsidTr="003526BB">
        <w:trPr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0DCC" w14:textId="77777777" w:rsidR="008A0FDA" w:rsidRPr="002771AD" w:rsidRDefault="008A0FDA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Münzhof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3EB9" w14:textId="43358E73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138.200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2377" w14:textId="2C5AA659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130.300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4135" w14:textId="6FADB873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116.055,22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51D7" w14:textId="261CC4C0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126.200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8730" w14:textId="06BC97DE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107.916,31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0D5C" w14:textId="54D2D6EB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73.690,32</w:t>
            </w:r>
          </w:p>
        </w:tc>
      </w:tr>
      <w:tr w:rsidR="004C51CF" w:rsidRPr="002771AD" w14:paraId="280760B7" w14:textId="77777777" w:rsidTr="003526BB">
        <w:trPr>
          <w:trHeight w:val="32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33CA2" w14:textId="76B48FF9" w:rsidR="008A0FDA" w:rsidRPr="002771AD" w:rsidRDefault="008A0FDA" w:rsidP="002771AD">
            <w:pPr>
              <w:ind w:right="468"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Touristinfo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9DADC" w14:textId="7AC953D0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843.400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DF2C0" w14:textId="7F3EC2F7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851.800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6600"/>
            <w:noWrap/>
            <w:vAlign w:val="bottom"/>
            <w:hideMark/>
          </w:tcPr>
          <w:p w14:paraId="26E69EDF" w14:textId="6353F6BF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856.466,15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992DF" w14:textId="269227A1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787.100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6600"/>
            <w:noWrap/>
            <w:vAlign w:val="bottom"/>
            <w:hideMark/>
          </w:tcPr>
          <w:p w14:paraId="05346841" w14:textId="3AFF5268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603.462,15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4690472D" w14:textId="0B0BEB9C" w:rsidR="008A0FDA" w:rsidRPr="002771AD" w:rsidRDefault="008A0FDA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519.048,02</w:t>
            </w:r>
          </w:p>
        </w:tc>
      </w:tr>
    </w:tbl>
    <w:p w14:paraId="089D7A25" w14:textId="77777777" w:rsidR="007E28A0" w:rsidRPr="002771AD" w:rsidRDefault="007E28A0" w:rsidP="002771AD">
      <w:pPr>
        <w:rPr>
          <w:rFonts w:ascii="Arial" w:hAnsi="Arial" w:cs="Arial"/>
        </w:rPr>
      </w:pPr>
    </w:p>
    <w:p w14:paraId="36962090" w14:textId="5129E78C" w:rsidR="006D0672" w:rsidRPr="002771AD" w:rsidRDefault="00EF6549" w:rsidP="002771AD">
      <w:pPr>
        <w:rPr>
          <w:rFonts w:ascii="Arial" w:hAnsi="Arial" w:cs="Arial"/>
          <w:b/>
        </w:rPr>
      </w:pPr>
      <w:r w:rsidRPr="002771AD">
        <w:rPr>
          <w:rFonts w:ascii="Arial" w:hAnsi="Arial" w:cs="Arial"/>
          <w:b/>
        </w:rPr>
        <w:t>Ergebnis</w:t>
      </w:r>
    </w:p>
    <w:p w14:paraId="66FA1A41" w14:textId="47C63316" w:rsidR="00A3657B" w:rsidRPr="002771AD" w:rsidRDefault="00331A91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Der Verlust des Fremdenverkehrsbetriebes in Höhe von rd. 989.000 Euro in 2017 </w:t>
      </w:r>
      <w:r w:rsidR="002B02CA" w:rsidRPr="002771AD">
        <w:rPr>
          <w:rFonts w:ascii="Arial" w:hAnsi="Arial" w:cs="Arial"/>
        </w:rPr>
        <w:t xml:space="preserve">ist dadurch gekennzeichnet, dass die Erträge etwas niedriger und die Aufwendungen etwas höher als geplant waren.  Das Niveau </w:t>
      </w:r>
      <w:r w:rsidRPr="002771AD">
        <w:rPr>
          <w:rFonts w:ascii="Arial" w:hAnsi="Arial" w:cs="Arial"/>
        </w:rPr>
        <w:t>wird zumindest in 2019 fortgeschrieben.</w:t>
      </w:r>
      <w:r w:rsidR="00A3657B" w:rsidRPr="002771AD">
        <w:rPr>
          <w:rFonts w:ascii="Arial" w:hAnsi="Arial" w:cs="Arial"/>
        </w:rPr>
        <w:t xml:space="preserve"> </w:t>
      </w:r>
    </w:p>
    <w:p w14:paraId="4FA4D3B4" w14:textId="19A2A20B" w:rsidR="00EF6549" w:rsidRPr="002771AD" w:rsidRDefault="002B02CA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F</w:t>
      </w:r>
      <w:r w:rsidR="00A3657B" w:rsidRPr="002771AD">
        <w:rPr>
          <w:rFonts w:ascii="Arial" w:hAnsi="Arial" w:cs="Arial"/>
        </w:rPr>
        <w:t xml:space="preserve">ür den Betriebsbereich </w:t>
      </w:r>
      <w:proofErr w:type="spellStart"/>
      <w:r w:rsidR="00A3657B" w:rsidRPr="002771AD">
        <w:rPr>
          <w:rFonts w:ascii="Arial" w:hAnsi="Arial" w:cs="Arial"/>
        </w:rPr>
        <w:t>Touristinfo</w:t>
      </w:r>
      <w:proofErr w:type="spellEnd"/>
      <w:r w:rsidR="00A3657B" w:rsidRPr="002771AD">
        <w:rPr>
          <w:rFonts w:ascii="Arial" w:hAnsi="Arial" w:cs="Arial"/>
        </w:rPr>
        <w:t xml:space="preserve"> </w:t>
      </w:r>
      <w:r w:rsidRPr="002771AD">
        <w:rPr>
          <w:rFonts w:ascii="Arial" w:hAnsi="Arial" w:cs="Arial"/>
        </w:rPr>
        <w:t xml:space="preserve">gilt: </w:t>
      </w:r>
      <w:r w:rsidR="00A3657B" w:rsidRPr="002771AD">
        <w:rPr>
          <w:rFonts w:ascii="Arial" w:hAnsi="Arial" w:cs="Arial"/>
        </w:rPr>
        <w:t>2017</w:t>
      </w:r>
      <w:r w:rsidRPr="002771AD">
        <w:rPr>
          <w:rFonts w:ascii="Arial" w:hAnsi="Arial" w:cs="Arial"/>
        </w:rPr>
        <w:t>-</w:t>
      </w:r>
      <w:r w:rsidR="00A3657B" w:rsidRPr="002771AD">
        <w:rPr>
          <w:rFonts w:ascii="Arial" w:hAnsi="Arial" w:cs="Arial"/>
        </w:rPr>
        <w:t xml:space="preserve"> 676.000 bzw. 2019</w:t>
      </w:r>
      <w:r w:rsidRPr="002771AD">
        <w:rPr>
          <w:rFonts w:ascii="Arial" w:hAnsi="Arial" w:cs="Arial"/>
        </w:rPr>
        <w:t xml:space="preserve"> -</w:t>
      </w:r>
      <w:r w:rsidR="00A3657B" w:rsidRPr="002771AD">
        <w:rPr>
          <w:rFonts w:ascii="Arial" w:hAnsi="Arial" w:cs="Arial"/>
        </w:rPr>
        <w:t xml:space="preserve"> 603.000 Euro). Der Verlustanstieg gegenüber den Jahren 2016 und früher ist in der in 2017 neu hinzugekommenen Leistungsvergütung zu sehen.</w:t>
      </w:r>
    </w:p>
    <w:p w14:paraId="0F2F4BAD" w14:textId="3D975CD6" w:rsidR="002B02CA" w:rsidRPr="002771AD" w:rsidRDefault="002B02CA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Bekanntlich werden die </w:t>
      </w:r>
      <w:r w:rsidRPr="002771AD">
        <w:rPr>
          <w:rFonts w:ascii="Arial" w:hAnsi="Arial" w:cs="Arial"/>
          <w:b/>
        </w:rPr>
        <w:t>Verluste durch den Gemeindehaushalt</w:t>
      </w:r>
      <w:r w:rsidR="00F0256F" w:rsidRPr="002771AD">
        <w:rPr>
          <w:rFonts w:ascii="Arial" w:hAnsi="Arial" w:cs="Arial"/>
          <w:b/>
        </w:rPr>
        <w:t xml:space="preserve"> </w:t>
      </w:r>
      <w:r w:rsidR="00F0256F" w:rsidRPr="002771AD">
        <w:rPr>
          <w:rFonts w:ascii="Arial" w:hAnsi="Arial" w:cs="Arial"/>
        </w:rPr>
        <w:t>(also durch die Allgemeinheit)</w:t>
      </w:r>
      <w:r w:rsidRPr="002771AD">
        <w:rPr>
          <w:rFonts w:ascii="Arial" w:hAnsi="Arial" w:cs="Arial"/>
        </w:rPr>
        <w:t xml:space="preserve"> </w:t>
      </w:r>
      <w:r w:rsidRPr="002771AD">
        <w:rPr>
          <w:rFonts w:ascii="Arial" w:hAnsi="Arial" w:cs="Arial"/>
          <w:b/>
        </w:rPr>
        <w:t>ausgeglichen</w:t>
      </w:r>
      <w:r w:rsidR="00961321" w:rsidRPr="002771AD">
        <w:rPr>
          <w:rFonts w:ascii="Arial" w:hAnsi="Arial" w:cs="Arial"/>
        </w:rPr>
        <w:t>: Der so genannte Fremdenverkehrsbeitrag</w:t>
      </w:r>
      <w:r w:rsidR="00F0256F" w:rsidRPr="002771AD">
        <w:rPr>
          <w:rFonts w:ascii="Arial" w:hAnsi="Arial" w:cs="Arial"/>
        </w:rPr>
        <w:t xml:space="preserve"> </w:t>
      </w:r>
      <w:proofErr w:type="gramStart"/>
      <w:r w:rsidR="00F0256F" w:rsidRPr="002771AD">
        <w:rPr>
          <w:rFonts w:ascii="Arial" w:hAnsi="Arial" w:cs="Arial"/>
        </w:rPr>
        <w:t>in  Höhe</w:t>
      </w:r>
      <w:proofErr w:type="gramEnd"/>
      <w:r w:rsidR="00F0256F" w:rsidRPr="002771AD">
        <w:rPr>
          <w:rFonts w:ascii="Arial" w:hAnsi="Arial" w:cs="Arial"/>
        </w:rPr>
        <w:t xml:space="preserve"> von ca. 250.000 Euro, der von jedem Unternehmen zu zahlen ist, </w:t>
      </w:r>
      <w:r w:rsidR="00961321" w:rsidRPr="002771AD">
        <w:rPr>
          <w:rFonts w:ascii="Arial" w:hAnsi="Arial" w:cs="Arial"/>
        </w:rPr>
        <w:t>reduziert die Belastung des Gemeindehaushaltes in 2017 auf rd.739.000 Euro</w:t>
      </w:r>
      <w:r w:rsidR="00F0256F" w:rsidRPr="002771AD">
        <w:rPr>
          <w:rFonts w:ascii="Arial" w:hAnsi="Arial" w:cs="Arial"/>
        </w:rPr>
        <w:t xml:space="preserve"> (Beitrag des Steuerzahlers).</w:t>
      </w:r>
    </w:p>
    <w:p w14:paraId="03E37F96" w14:textId="0109C4A7" w:rsidR="00961321" w:rsidRDefault="00961321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Im Kern schält sich aufgrund der Aufwendungen und des Ergebnisses heraus, dass der Betriebsbereich </w:t>
      </w:r>
      <w:proofErr w:type="spellStart"/>
      <w:r w:rsidRPr="002771AD">
        <w:rPr>
          <w:rFonts w:ascii="Arial" w:hAnsi="Arial" w:cs="Arial"/>
          <w:b/>
        </w:rPr>
        <w:t>Touristinfo</w:t>
      </w:r>
      <w:proofErr w:type="spellEnd"/>
      <w:r w:rsidRPr="002771AD">
        <w:rPr>
          <w:rFonts w:ascii="Arial" w:hAnsi="Arial" w:cs="Arial"/>
        </w:rPr>
        <w:t xml:space="preserve"> eine </w:t>
      </w:r>
      <w:r w:rsidRPr="002771AD">
        <w:rPr>
          <w:rFonts w:ascii="Arial" w:hAnsi="Arial" w:cs="Arial"/>
          <w:b/>
        </w:rPr>
        <w:t>subventionierte, branchenspezifische</w:t>
      </w:r>
      <w:r w:rsidR="00F0256F" w:rsidRPr="002771AD">
        <w:rPr>
          <w:rFonts w:ascii="Arial" w:hAnsi="Arial" w:cs="Arial"/>
          <w:b/>
        </w:rPr>
        <w:t xml:space="preserve">, dem Tourismus dienende </w:t>
      </w:r>
      <w:r w:rsidRPr="002771AD">
        <w:rPr>
          <w:rFonts w:ascii="Arial" w:hAnsi="Arial" w:cs="Arial"/>
          <w:b/>
        </w:rPr>
        <w:t>Wirtschafts- und Werbeförderung</w:t>
      </w:r>
      <w:r w:rsidRPr="002771AD">
        <w:rPr>
          <w:rFonts w:ascii="Arial" w:hAnsi="Arial" w:cs="Arial"/>
        </w:rPr>
        <w:t xml:space="preserve"> darstellt. Eine vergleichbare Wirtschafts- und Werbeförderung</w:t>
      </w:r>
      <w:r w:rsidR="003526BB" w:rsidRPr="002771AD">
        <w:rPr>
          <w:rFonts w:ascii="Arial" w:hAnsi="Arial" w:cs="Arial"/>
        </w:rPr>
        <w:t xml:space="preserve"> kommt anderen Branchen aus Industrie, Gewerbe, Handel etc. </w:t>
      </w:r>
      <w:r w:rsidR="003526BB" w:rsidRPr="002771AD">
        <w:rPr>
          <w:rFonts w:ascii="Arial" w:hAnsi="Arial" w:cs="Arial"/>
          <w:u w:val="single"/>
        </w:rPr>
        <w:t>nicht</w:t>
      </w:r>
      <w:r w:rsidR="003526BB" w:rsidRPr="002771AD">
        <w:rPr>
          <w:rFonts w:ascii="Arial" w:hAnsi="Arial" w:cs="Arial"/>
        </w:rPr>
        <w:t xml:space="preserve"> zu Gute.</w:t>
      </w:r>
    </w:p>
    <w:p w14:paraId="6EC9FBC7" w14:textId="77777777" w:rsidR="00EB2FC1" w:rsidRPr="002771AD" w:rsidRDefault="00EB2FC1" w:rsidP="002771AD">
      <w:pPr>
        <w:rPr>
          <w:rFonts w:ascii="Arial" w:hAnsi="Arial" w:cs="Aria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418"/>
        <w:gridCol w:w="1275"/>
        <w:gridCol w:w="1418"/>
        <w:gridCol w:w="1417"/>
      </w:tblGrid>
      <w:tr w:rsidR="00331A91" w:rsidRPr="002771AD" w14:paraId="5E6A7AFB" w14:textId="77777777" w:rsidTr="00331A91">
        <w:trPr>
          <w:trHeight w:val="32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73AFC" w14:textId="77777777" w:rsidR="00331A91" w:rsidRPr="002771AD" w:rsidRDefault="00331A91" w:rsidP="002771A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E87FA" w14:textId="77777777" w:rsidR="00331A91" w:rsidRPr="002771AD" w:rsidRDefault="00331A91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2019 Plan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33EAB" w14:textId="77777777" w:rsidR="00331A91" w:rsidRPr="002771AD" w:rsidRDefault="00331A91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2018 Plan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7C61D" w14:textId="77777777" w:rsidR="00331A91" w:rsidRPr="002771AD" w:rsidRDefault="00331A91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2017 Ist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835E2" w14:textId="77777777" w:rsidR="00331A91" w:rsidRPr="002771AD" w:rsidRDefault="00331A91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2017  Plan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7DAF7" w14:textId="77777777" w:rsidR="00331A91" w:rsidRPr="002771AD" w:rsidRDefault="00331A91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2016 Ist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83AF3" w14:textId="77777777" w:rsidR="00331A91" w:rsidRPr="002771AD" w:rsidRDefault="00331A91" w:rsidP="002771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2015 Ist</w:t>
            </w:r>
          </w:p>
        </w:tc>
      </w:tr>
      <w:tr w:rsidR="00331A91" w:rsidRPr="002771AD" w14:paraId="379B8EBF" w14:textId="77777777" w:rsidTr="00331A91">
        <w:trPr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FCCF05" w14:textId="77777777" w:rsidR="00331A91" w:rsidRPr="002771AD" w:rsidRDefault="00331A91" w:rsidP="002771A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Gesamt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B282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-965.000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E7D6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-890.000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E8F0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-989.389,00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241E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-794.000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6013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-799.954,96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9631" w14:textId="79F351E8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331A91" w:rsidRPr="002771AD" w14:paraId="5622F35C" w14:textId="77777777" w:rsidTr="00331A91">
        <w:trPr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1106" w14:textId="77777777" w:rsidR="00331A91" w:rsidRPr="002771AD" w:rsidRDefault="00331A91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Veranstaltung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F2A4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-71.700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40CA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-52.800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5C99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-19.581,19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43E9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-59.000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EB87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-42.330,69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887D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-19.858,40 </w:t>
            </w:r>
          </w:p>
        </w:tc>
      </w:tr>
      <w:tr w:rsidR="00331A91" w:rsidRPr="002771AD" w14:paraId="5B138C5C" w14:textId="77777777" w:rsidTr="00331A91">
        <w:trPr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E2FF" w14:textId="77777777" w:rsidR="00331A91" w:rsidRPr="002771AD" w:rsidRDefault="00331A91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Strandbad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0A8F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-240.300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D315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-294.000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C33D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-203.424,92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E99A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-285.000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AF1C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-260.172,24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89CE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-227.851,56 </w:t>
            </w:r>
          </w:p>
        </w:tc>
      </w:tr>
      <w:tr w:rsidR="00331A91" w:rsidRPr="002771AD" w14:paraId="729BB699" w14:textId="77777777" w:rsidTr="00331A91">
        <w:trPr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8E2D" w14:textId="77777777" w:rsidR="00331A91" w:rsidRPr="002771AD" w:rsidRDefault="00331A91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 + Ufer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0546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-64.600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3FB9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-177.400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6843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-65.513,34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93D4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-147.000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FC6A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-132.725,48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4486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-105.443,18 </w:t>
            </w:r>
          </w:p>
        </w:tc>
      </w:tr>
      <w:tr w:rsidR="00331A91" w:rsidRPr="002771AD" w14:paraId="65B34432" w14:textId="77777777" w:rsidTr="00331A91">
        <w:trPr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F754" w14:textId="77777777" w:rsidR="00331A91" w:rsidRPr="002771AD" w:rsidRDefault="00331A91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Bootshafen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3327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21.500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0648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-6.900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CAF4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-24.342,70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C177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CF5E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-17.497,34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1A84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-39.018,58 </w:t>
            </w:r>
          </w:p>
        </w:tc>
      </w:tr>
      <w:tr w:rsidR="00331A91" w:rsidRPr="002771AD" w14:paraId="386C0D6A" w14:textId="77777777" w:rsidTr="00331A91">
        <w:trPr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10F3" w14:textId="77777777" w:rsidR="00331A91" w:rsidRPr="002771AD" w:rsidRDefault="00331A91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Tiefgarage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0B7F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60.000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0371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83.500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ED00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50.187,00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08DE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77.000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0DC2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76.108,64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8E8A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82.633,00 </w:t>
            </w:r>
          </w:p>
        </w:tc>
      </w:tr>
      <w:tr w:rsidR="00331A91" w:rsidRPr="002771AD" w14:paraId="379F7C46" w14:textId="77777777" w:rsidTr="00331A91">
        <w:trPr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67B6" w14:textId="77777777" w:rsidR="00331A91" w:rsidRPr="002771AD" w:rsidRDefault="00331A91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Münzhof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808A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-66.800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1CA6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-74.900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0983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-50.514,03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AE26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-70.000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AD30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-65.118,73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EBEB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-28.182,64 </w:t>
            </w:r>
          </w:p>
        </w:tc>
      </w:tr>
      <w:tr w:rsidR="00331A91" w:rsidRPr="002771AD" w14:paraId="5FFCF1A6" w14:textId="77777777" w:rsidTr="00331A91">
        <w:trPr>
          <w:trHeight w:val="32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F6477" w14:textId="6B33DCAE" w:rsidR="00331A91" w:rsidRPr="002771AD" w:rsidRDefault="00331A91" w:rsidP="002771AD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2771A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Touristinfo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E1DAB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-603.100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50D74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-367.500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1D6F0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-676.199,70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F66B7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-310.000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456CA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-358.219,12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27B32" w14:textId="77777777" w:rsidR="00331A91" w:rsidRPr="002771AD" w:rsidRDefault="00331A91" w:rsidP="002771A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771AD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-335.166,28 </w:t>
            </w:r>
          </w:p>
        </w:tc>
      </w:tr>
    </w:tbl>
    <w:p w14:paraId="08B3A83A" w14:textId="77777777" w:rsidR="00EF6549" w:rsidRPr="002771AD" w:rsidRDefault="00EF6549" w:rsidP="002771AD">
      <w:pPr>
        <w:rPr>
          <w:rFonts w:ascii="Arial" w:hAnsi="Arial" w:cs="Arial"/>
        </w:rPr>
      </w:pPr>
    </w:p>
    <w:p w14:paraId="59743E8D" w14:textId="343F0B8A" w:rsidR="009920FB" w:rsidRPr="002771AD" w:rsidRDefault="00F0256F" w:rsidP="002771AD">
      <w:pPr>
        <w:rPr>
          <w:rFonts w:ascii="Arial" w:hAnsi="Arial" w:cs="Arial"/>
          <w:b/>
        </w:rPr>
      </w:pPr>
      <w:r w:rsidRPr="002771AD">
        <w:rPr>
          <w:rFonts w:ascii="Arial" w:hAnsi="Arial" w:cs="Arial"/>
          <w:b/>
        </w:rPr>
        <w:t>Nachsatz</w:t>
      </w:r>
    </w:p>
    <w:p w14:paraId="432B6E14" w14:textId="77777777" w:rsidR="007E12EC" w:rsidRPr="002771AD" w:rsidRDefault="001A606E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Motivation für diese kurze, nur wenige Aspekte beleuchtende Betrachtung des Haushaltsplanentwurfes 2019 waren die Wortbeiträge von Verwaltung und Gemeinderäten während der Januar-Gemeinderatssitzung: Haushalt der Superlative, Zahlenwerk der Rekorde, usw. usf. </w:t>
      </w:r>
      <w:r w:rsidR="007014DA" w:rsidRPr="002771AD">
        <w:rPr>
          <w:rFonts w:ascii="Arial" w:hAnsi="Arial" w:cs="Arial"/>
        </w:rPr>
        <w:t>Eine Wortwahl, die</w:t>
      </w:r>
      <w:r w:rsidRPr="002771AD">
        <w:rPr>
          <w:rFonts w:ascii="Arial" w:hAnsi="Arial" w:cs="Arial"/>
        </w:rPr>
        <w:t xml:space="preserve"> neugierig </w:t>
      </w:r>
      <w:r w:rsidR="007014DA" w:rsidRPr="002771AD">
        <w:rPr>
          <w:rFonts w:ascii="Arial" w:hAnsi="Arial" w:cs="Arial"/>
        </w:rPr>
        <w:t xml:space="preserve">macht </w:t>
      </w:r>
      <w:r w:rsidRPr="002771AD">
        <w:rPr>
          <w:rFonts w:ascii="Arial" w:hAnsi="Arial" w:cs="Arial"/>
        </w:rPr>
        <w:t>und</w:t>
      </w:r>
      <w:r w:rsidR="0071178D" w:rsidRPr="002771AD">
        <w:rPr>
          <w:rFonts w:ascii="Arial" w:hAnsi="Arial" w:cs="Arial"/>
        </w:rPr>
        <w:t xml:space="preserve"> die </w:t>
      </w:r>
      <w:r w:rsidR="007014DA" w:rsidRPr="002771AD">
        <w:rPr>
          <w:rFonts w:ascii="Arial" w:hAnsi="Arial" w:cs="Arial"/>
        </w:rPr>
        <w:t xml:space="preserve">zugleich absurd ist, weil selbst den </w:t>
      </w:r>
      <w:r w:rsidR="007014DA" w:rsidRPr="002771AD">
        <w:rPr>
          <w:rFonts w:ascii="Arial" w:hAnsi="Arial" w:cs="Arial"/>
        </w:rPr>
        <w:lastRenderedPageBreak/>
        <w:t xml:space="preserve">Gemeinderäten </w:t>
      </w:r>
      <w:r w:rsidR="007E12EC" w:rsidRPr="002771AD">
        <w:rPr>
          <w:rFonts w:ascii="Arial" w:hAnsi="Arial" w:cs="Arial"/>
        </w:rPr>
        <w:t>bewusst</w:t>
      </w:r>
      <w:r w:rsidR="007014DA" w:rsidRPr="002771AD">
        <w:rPr>
          <w:rFonts w:ascii="Arial" w:hAnsi="Arial" w:cs="Arial"/>
        </w:rPr>
        <w:t xml:space="preserve"> zu sein scheint, dass nur wenige </w:t>
      </w:r>
      <w:r w:rsidR="007E12EC" w:rsidRPr="002771AD">
        <w:rPr>
          <w:rFonts w:ascii="Arial" w:hAnsi="Arial" w:cs="Arial"/>
        </w:rPr>
        <w:t xml:space="preserve">veränderliche Größen den Haushaltsplan fragil werden lassen. </w:t>
      </w:r>
      <w:r w:rsidR="007014DA" w:rsidRPr="002771AD">
        <w:rPr>
          <w:rFonts w:ascii="Arial" w:hAnsi="Arial" w:cs="Arial"/>
        </w:rPr>
        <w:t xml:space="preserve"> </w:t>
      </w:r>
    </w:p>
    <w:p w14:paraId="6FBF922D" w14:textId="6F6D6BBB" w:rsidR="007E12EC" w:rsidRPr="002771AD" w:rsidRDefault="007E12EC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Die</w:t>
      </w:r>
      <w:r w:rsidR="007014DA" w:rsidRPr="002771AD">
        <w:rPr>
          <w:rFonts w:ascii="Arial" w:hAnsi="Arial" w:cs="Arial"/>
        </w:rPr>
        <w:t xml:space="preserve"> </w:t>
      </w:r>
      <w:r w:rsidR="0071178D" w:rsidRPr="002771AD">
        <w:rPr>
          <w:rFonts w:ascii="Arial" w:hAnsi="Arial" w:cs="Arial"/>
        </w:rPr>
        <w:t>Auseinandersetzung</w:t>
      </w:r>
      <w:r w:rsidR="001A606E" w:rsidRPr="002771AD">
        <w:rPr>
          <w:rFonts w:ascii="Arial" w:hAnsi="Arial" w:cs="Arial"/>
        </w:rPr>
        <w:t xml:space="preserve"> </w:t>
      </w:r>
      <w:r w:rsidR="0071178D" w:rsidRPr="002771AD">
        <w:rPr>
          <w:rFonts w:ascii="Arial" w:hAnsi="Arial" w:cs="Arial"/>
        </w:rPr>
        <w:t>mit dem Thema</w:t>
      </w:r>
      <w:r w:rsidRPr="002771AD">
        <w:rPr>
          <w:rFonts w:ascii="Arial" w:hAnsi="Arial" w:cs="Arial"/>
        </w:rPr>
        <w:t xml:space="preserve"> Haushalt</w:t>
      </w:r>
      <w:r w:rsidR="0071178D" w:rsidRPr="002771AD">
        <w:rPr>
          <w:rFonts w:ascii="Arial" w:hAnsi="Arial" w:cs="Arial"/>
        </w:rPr>
        <w:t xml:space="preserve">, dem Königsrecht des Parlamentes, </w:t>
      </w:r>
      <w:r w:rsidR="001A606E" w:rsidRPr="002771AD">
        <w:rPr>
          <w:rFonts w:ascii="Arial" w:hAnsi="Arial" w:cs="Arial"/>
        </w:rPr>
        <w:t xml:space="preserve">führt zu einem besseren, zumindest jedoch zu einem anderen Verständnis. </w:t>
      </w:r>
      <w:r w:rsidR="00C93637" w:rsidRPr="002771AD">
        <w:rPr>
          <w:rFonts w:ascii="Arial" w:hAnsi="Arial" w:cs="Arial"/>
        </w:rPr>
        <w:t xml:space="preserve">Es erwächst der Eindruck, dass der Haushaltsplan, was Investitionen anbetrifft, ein theoretisch maximal möglicher Handlungsrahmen, innerhalb dessen die Verwaltung frei agieren kann, darstellt. </w:t>
      </w:r>
    </w:p>
    <w:p w14:paraId="15306875" w14:textId="742AC07E" w:rsidR="0071178D" w:rsidRPr="002771AD" w:rsidRDefault="0071178D" w:rsidP="002771AD">
      <w:pPr>
        <w:rPr>
          <w:rFonts w:ascii="Arial" w:hAnsi="Arial" w:cs="Arial"/>
        </w:rPr>
      </w:pPr>
    </w:p>
    <w:p w14:paraId="6E5FCEE5" w14:textId="77777777" w:rsidR="007E12EC" w:rsidRPr="002771AD" w:rsidRDefault="0071178D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Man muss sich von der Vorstellung lösen, </w:t>
      </w:r>
      <w:r w:rsidR="00C93637" w:rsidRPr="002771AD">
        <w:rPr>
          <w:rFonts w:ascii="Arial" w:hAnsi="Arial" w:cs="Arial"/>
        </w:rPr>
        <w:t>dass alle aufgelisteten Projekte / Investitionen umgesetzt werden oder werden können. Möglicherweise sind die geeigneten personellen Ressourcen, die eine punktuelle Investitionshäufung in 2019 abarbeiten und umsetzen könn</w:t>
      </w:r>
      <w:r w:rsidR="007C3778" w:rsidRPr="002771AD">
        <w:rPr>
          <w:rFonts w:ascii="Arial" w:hAnsi="Arial" w:cs="Arial"/>
        </w:rPr>
        <w:t>t</w:t>
      </w:r>
      <w:r w:rsidR="00C93637" w:rsidRPr="002771AD">
        <w:rPr>
          <w:rFonts w:ascii="Arial" w:hAnsi="Arial" w:cs="Arial"/>
        </w:rPr>
        <w:t xml:space="preserve">en, nicht vorhanden. </w:t>
      </w:r>
    </w:p>
    <w:p w14:paraId="562ACA80" w14:textId="72B67EBA" w:rsidR="00C93637" w:rsidRPr="002771AD" w:rsidRDefault="007E12EC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Mit der jahrzehntelangen Erfahrung der Verwaltungsequipe dürften die Klippen und Hindernisse </w:t>
      </w:r>
      <w:r w:rsidR="003E2B6A" w:rsidRPr="002771AD">
        <w:rPr>
          <w:rFonts w:ascii="Arial" w:hAnsi="Arial" w:cs="Arial"/>
        </w:rPr>
        <w:t xml:space="preserve">mit Blick auf die </w:t>
      </w:r>
      <w:r w:rsidRPr="002771AD">
        <w:rPr>
          <w:rFonts w:ascii="Arial" w:hAnsi="Arial" w:cs="Arial"/>
        </w:rPr>
        <w:t xml:space="preserve">Umsetzbarkeit von Investitionen und Projekten hinreichend genau ab- und einschätzbar sein, sodass </w:t>
      </w:r>
      <w:r w:rsidR="003E2B6A" w:rsidRPr="002771AD">
        <w:rPr>
          <w:rFonts w:ascii="Arial" w:hAnsi="Arial" w:cs="Arial"/>
        </w:rPr>
        <w:t>ein Investitionsprogramm i</w:t>
      </w:r>
      <w:r w:rsidR="0004565E" w:rsidRPr="002771AD">
        <w:rPr>
          <w:rFonts w:ascii="Arial" w:hAnsi="Arial" w:cs="Arial"/>
        </w:rPr>
        <w:t>m</w:t>
      </w:r>
      <w:r w:rsidR="003E2B6A" w:rsidRPr="002771AD">
        <w:rPr>
          <w:rFonts w:ascii="Arial" w:hAnsi="Arial" w:cs="Arial"/>
        </w:rPr>
        <w:t xml:space="preserve"> Haushaltsjahr annäh</w:t>
      </w:r>
      <w:r w:rsidR="0004565E" w:rsidRPr="002771AD">
        <w:rPr>
          <w:rFonts w:ascii="Arial" w:hAnsi="Arial" w:cs="Arial"/>
        </w:rPr>
        <w:t>ernd verwirklicht werden kann.</w:t>
      </w:r>
    </w:p>
    <w:p w14:paraId="71AA852C" w14:textId="39A8B9F3" w:rsidR="00F0256F" w:rsidRPr="002771AD" w:rsidRDefault="001A606E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Es bleibt zu hoffen, dass die gewählten Gemeinderäte</w:t>
      </w:r>
      <w:r w:rsidR="00C93637" w:rsidRPr="002771AD">
        <w:rPr>
          <w:rFonts w:ascii="Arial" w:hAnsi="Arial" w:cs="Arial"/>
        </w:rPr>
        <w:t xml:space="preserve"> in dieser komplexen Angelegenheit die richtigen Fragen stellen und die richtigen</w:t>
      </w:r>
      <w:r w:rsidR="0071178D" w:rsidRPr="002771AD">
        <w:rPr>
          <w:rFonts w:ascii="Arial" w:hAnsi="Arial" w:cs="Arial"/>
        </w:rPr>
        <w:t>, u.U. einschränkenden</w:t>
      </w:r>
      <w:r w:rsidR="0004565E" w:rsidRPr="002771AD">
        <w:rPr>
          <w:rFonts w:ascii="Arial" w:hAnsi="Arial" w:cs="Arial"/>
        </w:rPr>
        <w:t xml:space="preserve"> </w:t>
      </w:r>
      <w:r w:rsidR="00C93637" w:rsidRPr="002771AD">
        <w:rPr>
          <w:rFonts w:ascii="Arial" w:hAnsi="Arial" w:cs="Arial"/>
        </w:rPr>
        <w:t xml:space="preserve">Guidelines </w:t>
      </w:r>
      <w:r w:rsidR="0071178D" w:rsidRPr="002771AD">
        <w:rPr>
          <w:rFonts w:ascii="Arial" w:hAnsi="Arial" w:cs="Arial"/>
        </w:rPr>
        <w:t>einziehen.</w:t>
      </w:r>
    </w:p>
    <w:p w14:paraId="394BC36A" w14:textId="74B584D9" w:rsidR="001228D8" w:rsidRPr="002771AD" w:rsidRDefault="001228D8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 xml:space="preserve">Alle relevanten Daten sind dem Haushaltsplan 2018 sowie dem Haushaltsplanentwurf 2019 entnommen. </w:t>
      </w:r>
      <w:r w:rsidR="007C3778" w:rsidRPr="002771AD">
        <w:rPr>
          <w:rFonts w:ascii="Arial" w:hAnsi="Arial" w:cs="Arial"/>
        </w:rPr>
        <w:t xml:space="preserve">Sollte sich, trotz </w:t>
      </w:r>
      <w:r w:rsidR="0004565E" w:rsidRPr="002771AD">
        <w:rPr>
          <w:rFonts w:ascii="Arial" w:hAnsi="Arial" w:cs="Arial"/>
        </w:rPr>
        <w:t>aller</w:t>
      </w:r>
      <w:r w:rsidR="007C3778" w:rsidRPr="002771AD">
        <w:rPr>
          <w:rFonts w:ascii="Arial" w:hAnsi="Arial" w:cs="Arial"/>
        </w:rPr>
        <w:t xml:space="preserve"> Sorgfalt, ein Übertragungsfehler eingeschlichen haben, wird um Nachsicht gebeten.</w:t>
      </w:r>
    </w:p>
    <w:p w14:paraId="593A7D93" w14:textId="33F052B6" w:rsidR="0071178D" w:rsidRPr="002771AD" w:rsidRDefault="0071178D" w:rsidP="002771AD">
      <w:pPr>
        <w:rPr>
          <w:rFonts w:ascii="Arial" w:hAnsi="Arial" w:cs="Arial"/>
        </w:rPr>
      </w:pPr>
    </w:p>
    <w:p w14:paraId="25A1CF95" w14:textId="2E8CFB00" w:rsidR="0071178D" w:rsidRPr="002771AD" w:rsidRDefault="0071178D" w:rsidP="002771AD">
      <w:pPr>
        <w:rPr>
          <w:rFonts w:ascii="Arial" w:hAnsi="Arial" w:cs="Arial"/>
        </w:rPr>
      </w:pPr>
      <w:r w:rsidRPr="002771AD">
        <w:rPr>
          <w:rFonts w:ascii="Arial" w:hAnsi="Arial" w:cs="Arial"/>
        </w:rPr>
        <w:t>31.</w:t>
      </w:r>
      <w:r w:rsidR="00320AF1" w:rsidRPr="002771AD">
        <w:rPr>
          <w:rFonts w:ascii="Arial" w:hAnsi="Arial" w:cs="Arial"/>
        </w:rPr>
        <w:t>01</w:t>
      </w:r>
      <w:r w:rsidRPr="002771AD">
        <w:rPr>
          <w:rFonts w:ascii="Arial" w:hAnsi="Arial" w:cs="Arial"/>
        </w:rPr>
        <w:t>.2019 – Gerd Kupper</w:t>
      </w:r>
    </w:p>
    <w:sectPr w:rsidR="0071178D" w:rsidRPr="002771AD" w:rsidSect="00EB2FC1">
      <w:footerReference w:type="even" r:id="rId7"/>
      <w:footerReference w:type="default" r:id="rId8"/>
      <w:pgSz w:w="11900" w:h="16840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F331C" w14:textId="77777777" w:rsidR="00463618" w:rsidRDefault="00463618" w:rsidP="006B0870">
      <w:r>
        <w:separator/>
      </w:r>
    </w:p>
  </w:endnote>
  <w:endnote w:type="continuationSeparator" w:id="0">
    <w:p w14:paraId="5388BC81" w14:textId="77777777" w:rsidR="00463618" w:rsidRDefault="00463618" w:rsidP="006B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26029672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6B4A7B1" w14:textId="5FDB920E" w:rsidR="006B0870" w:rsidRDefault="006B0870" w:rsidP="00FA58E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0FA8B08" w14:textId="77777777" w:rsidR="006B0870" w:rsidRDefault="006B0870" w:rsidP="006B087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44800052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5FC3E2E" w14:textId="4924FDF2" w:rsidR="006B0870" w:rsidRDefault="006B0870" w:rsidP="00FA58E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1F097CB" w14:textId="77777777" w:rsidR="006B0870" w:rsidRDefault="006B0870" w:rsidP="002771A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A5E30" w14:textId="77777777" w:rsidR="00463618" w:rsidRDefault="00463618" w:rsidP="006B0870">
      <w:r>
        <w:separator/>
      </w:r>
    </w:p>
  </w:footnote>
  <w:footnote w:type="continuationSeparator" w:id="0">
    <w:p w14:paraId="1C7AC7FE" w14:textId="77777777" w:rsidR="00463618" w:rsidRDefault="00463618" w:rsidP="006B0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D36B6"/>
    <w:multiLevelType w:val="hybridMultilevel"/>
    <w:tmpl w:val="2B0CC5BE"/>
    <w:lvl w:ilvl="0" w:tplc="6D2EF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5D"/>
    <w:rsid w:val="0004565E"/>
    <w:rsid w:val="000E1162"/>
    <w:rsid w:val="001228D8"/>
    <w:rsid w:val="00153CEF"/>
    <w:rsid w:val="00154820"/>
    <w:rsid w:val="00166F64"/>
    <w:rsid w:val="00183ECE"/>
    <w:rsid w:val="001A606E"/>
    <w:rsid w:val="001C6366"/>
    <w:rsid w:val="001F20C7"/>
    <w:rsid w:val="002771AD"/>
    <w:rsid w:val="002B02CA"/>
    <w:rsid w:val="002C2274"/>
    <w:rsid w:val="00304570"/>
    <w:rsid w:val="00320AF1"/>
    <w:rsid w:val="00331A91"/>
    <w:rsid w:val="003526BB"/>
    <w:rsid w:val="00362753"/>
    <w:rsid w:val="003633C2"/>
    <w:rsid w:val="0038021B"/>
    <w:rsid w:val="003E2B6A"/>
    <w:rsid w:val="00454DEF"/>
    <w:rsid w:val="00457838"/>
    <w:rsid w:val="00463618"/>
    <w:rsid w:val="004C51CF"/>
    <w:rsid w:val="00525A90"/>
    <w:rsid w:val="00540892"/>
    <w:rsid w:val="00546738"/>
    <w:rsid w:val="0055243A"/>
    <w:rsid w:val="00553759"/>
    <w:rsid w:val="005721D8"/>
    <w:rsid w:val="005D36F5"/>
    <w:rsid w:val="005F41C2"/>
    <w:rsid w:val="00641363"/>
    <w:rsid w:val="00651E6D"/>
    <w:rsid w:val="006B0870"/>
    <w:rsid w:val="006D0672"/>
    <w:rsid w:val="006D289F"/>
    <w:rsid w:val="006F45EE"/>
    <w:rsid w:val="007014DA"/>
    <w:rsid w:val="0071178D"/>
    <w:rsid w:val="00712F18"/>
    <w:rsid w:val="00730F0D"/>
    <w:rsid w:val="0074751B"/>
    <w:rsid w:val="00755BF5"/>
    <w:rsid w:val="007B55D9"/>
    <w:rsid w:val="007C3778"/>
    <w:rsid w:val="007E12EC"/>
    <w:rsid w:val="007E28A0"/>
    <w:rsid w:val="007F2D1E"/>
    <w:rsid w:val="00820AE3"/>
    <w:rsid w:val="00873F18"/>
    <w:rsid w:val="008A0FDA"/>
    <w:rsid w:val="00921493"/>
    <w:rsid w:val="00923157"/>
    <w:rsid w:val="0095122E"/>
    <w:rsid w:val="00961321"/>
    <w:rsid w:val="00963B6A"/>
    <w:rsid w:val="00971061"/>
    <w:rsid w:val="009920FB"/>
    <w:rsid w:val="009C6F27"/>
    <w:rsid w:val="009D13DE"/>
    <w:rsid w:val="009D7615"/>
    <w:rsid w:val="009E5717"/>
    <w:rsid w:val="00A114CE"/>
    <w:rsid w:val="00A232D0"/>
    <w:rsid w:val="00A3579B"/>
    <w:rsid w:val="00A3657B"/>
    <w:rsid w:val="00A74391"/>
    <w:rsid w:val="00A8795D"/>
    <w:rsid w:val="00A87FAD"/>
    <w:rsid w:val="00B13719"/>
    <w:rsid w:val="00B61A25"/>
    <w:rsid w:val="00B67308"/>
    <w:rsid w:val="00BA0D5C"/>
    <w:rsid w:val="00BA45A6"/>
    <w:rsid w:val="00BE4ED6"/>
    <w:rsid w:val="00C50CE4"/>
    <w:rsid w:val="00C905EF"/>
    <w:rsid w:val="00C93637"/>
    <w:rsid w:val="00D75BAF"/>
    <w:rsid w:val="00D76BB4"/>
    <w:rsid w:val="00D96337"/>
    <w:rsid w:val="00E36FE0"/>
    <w:rsid w:val="00E44818"/>
    <w:rsid w:val="00EB1330"/>
    <w:rsid w:val="00EB2FC1"/>
    <w:rsid w:val="00EF6549"/>
    <w:rsid w:val="00F0256F"/>
    <w:rsid w:val="00F3348C"/>
    <w:rsid w:val="00F51366"/>
    <w:rsid w:val="00F94215"/>
    <w:rsid w:val="00FD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5266FF"/>
  <w14:defaultImageDpi w14:val="300"/>
  <w15:docId w15:val="{F8A497CC-3E6F-4B46-AC29-09B8029E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6B08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0870"/>
  </w:style>
  <w:style w:type="character" w:styleId="Seitenzahl">
    <w:name w:val="page number"/>
    <w:basedOn w:val="Absatz-Standardschriftart"/>
    <w:uiPriority w:val="99"/>
    <w:semiHidden/>
    <w:unhideWhenUsed/>
    <w:rsid w:val="006B0870"/>
  </w:style>
  <w:style w:type="paragraph" w:styleId="Listenabsatz">
    <w:name w:val="List Paragraph"/>
    <w:basedOn w:val="Standard"/>
    <w:uiPriority w:val="34"/>
    <w:qFormat/>
    <w:rsid w:val="007C377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771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2068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Alfred Kupper</dc:creator>
  <cp:keywords/>
  <dc:description/>
  <cp:lastModifiedBy>Rolf Motz</cp:lastModifiedBy>
  <cp:revision>2</cp:revision>
  <dcterms:created xsi:type="dcterms:W3CDTF">2019-02-01T13:44:00Z</dcterms:created>
  <dcterms:modified xsi:type="dcterms:W3CDTF">2019-02-01T13:44:00Z</dcterms:modified>
</cp:coreProperties>
</file>